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BF2" w:rsidRPr="008B76DC" w:rsidRDefault="00B243C6" w:rsidP="00310C02">
      <w:pPr>
        <w:spacing w:after="0" w:line="360" w:lineRule="auto"/>
        <w:jc w:val="center"/>
        <w:rPr>
          <w:rFonts w:ascii="Arial" w:hAnsi="Arial" w:cs="Arial"/>
          <w:b/>
          <w:sz w:val="24"/>
          <w:szCs w:val="24"/>
          <w:lang w:val="en-US"/>
        </w:rPr>
      </w:pPr>
      <w:r w:rsidRPr="008B76DC">
        <w:rPr>
          <w:rFonts w:ascii="Arial" w:hAnsi="Arial" w:cs="Arial"/>
          <w:b/>
          <w:sz w:val="24"/>
          <w:szCs w:val="24"/>
          <w:lang w:val="en-US"/>
        </w:rPr>
        <w:t>ACTIVE METHODOLOGY AND</w:t>
      </w:r>
      <w:r w:rsidR="004743A4" w:rsidRPr="008B76DC">
        <w:rPr>
          <w:rFonts w:ascii="Arial" w:hAnsi="Arial" w:cs="Arial"/>
          <w:b/>
          <w:sz w:val="24"/>
          <w:szCs w:val="24"/>
          <w:lang w:val="en-US"/>
        </w:rPr>
        <w:t xml:space="preserve"> BLENDED LEARNING: AN EXPERIENCE IN PHARMACEUTICAL CARE</w:t>
      </w:r>
    </w:p>
    <w:p w:rsidR="001F0B58" w:rsidRPr="008B76DC" w:rsidRDefault="001F0B58" w:rsidP="00310C02">
      <w:pPr>
        <w:spacing w:after="0" w:line="360" w:lineRule="auto"/>
        <w:rPr>
          <w:rFonts w:ascii="Arial" w:hAnsi="Arial" w:cs="Arial"/>
          <w:sz w:val="24"/>
          <w:szCs w:val="24"/>
          <w:lang w:val="en-US"/>
        </w:rPr>
      </w:pPr>
    </w:p>
    <w:p w:rsidR="00187C4E" w:rsidRPr="008B76DC" w:rsidRDefault="00187C4E" w:rsidP="00F9684D">
      <w:pPr>
        <w:spacing w:after="0" w:line="480" w:lineRule="auto"/>
        <w:rPr>
          <w:rFonts w:ascii="Arial" w:hAnsi="Arial" w:cs="Arial"/>
          <w:b/>
          <w:sz w:val="24"/>
        </w:rPr>
      </w:pPr>
      <w:r w:rsidRPr="008B76DC">
        <w:rPr>
          <w:rFonts w:ascii="Arial" w:hAnsi="Arial" w:cs="Arial"/>
          <w:b/>
          <w:sz w:val="24"/>
        </w:rPr>
        <w:t>ABSTRACT</w:t>
      </w:r>
    </w:p>
    <w:p w:rsidR="00187C4E" w:rsidRPr="008B76DC" w:rsidRDefault="00187C4E" w:rsidP="00F9684D">
      <w:pPr>
        <w:spacing w:after="0" w:line="480" w:lineRule="auto"/>
        <w:rPr>
          <w:rFonts w:ascii="Arial" w:hAnsi="Arial" w:cs="Arial"/>
          <w:sz w:val="24"/>
          <w:lang w:val="en-US"/>
        </w:rPr>
      </w:pPr>
      <w:r w:rsidRPr="008B76DC">
        <w:rPr>
          <w:rFonts w:ascii="Arial" w:hAnsi="Arial" w:cs="Arial"/>
          <w:sz w:val="24"/>
          <w:lang w:val="en-US"/>
        </w:rPr>
        <w:t>The aim of this study was to analyze the implementation of an active methodology in a blended model of education in the teaching-learning process applied to students enrolled in the disciplines Pharmaceutical Care I and II of the Bachelor of Pharmacy at the Federal University of Paraná. The study design was quasi-experimental, prospective, comparative, of the type before and after, in which Pharmaceutical Care classes were the intervention. Identical pre and post intervention tests</w:t>
      </w:r>
      <w:r w:rsidRPr="008B76DC">
        <w:rPr>
          <w:rFonts w:ascii="Arial" w:hAnsi="Arial" w:cs="Arial"/>
          <w:noProof/>
          <w:sz w:val="24"/>
          <w:lang w:val="en-US" w:eastAsia="pt-BR"/>
        </w:rPr>
        <w:t xml:space="preserve"> were designed based on Bloom's Taxonomy revised by Anderson and Krathwohl (2001), and according to the levels of the cognitive domain: r</w:t>
      </w:r>
      <w:r w:rsidR="00AD334D">
        <w:rPr>
          <w:rFonts w:ascii="Arial" w:hAnsi="Arial" w:cs="Arial"/>
          <w:noProof/>
          <w:sz w:val="24"/>
          <w:lang w:val="en-US" w:eastAsia="pt-BR"/>
        </w:rPr>
        <w:t>emember and understand, apply and analyze</w:t>
      </w:r>
      <w:r w:rsidRPr="008B76DC">
        <w:rPr>
          <w:rFonts w:ascii="Arial" w:hAnsi="Arial" w:cs="Arial"/>
          <w:noProof/>
          <w:sz w:val="24"/>
          <w:lang w:val="en-US" w:eastAsia="pt-BR"/>
        </w:rPr>
        <w:t>,</w:t>
      </w:r>
      <w:r w:rsidR="00AD334D">
        <w:rPr>
          <w:rFonts w:ascii="Arial" w:hAnsi="Arial" w:cs="Arial"/>
          <w:noProof/>
          <w:sz w:val="24"/>
          <w:lang w:val="en-US" w:eastAsia="pt-BR"/>
        </w:rPr>
        <w:t xml:space="preserve"> evaluate and create</w:t>
      </w:r>
      <w:r w:rsidRPr="008B76DC">
        <w:rPr>
          <w:rFonts w:ascii="Arial" w:hAnsi="Arial" w:cs="Arial"/>
          <w:noProof/>
          <w:sz w:val="24"/>
          <w:lang w:val="en-US" w:eastAsia="pt-BR"/>
        </w:rPr>
        <w:t xml:space="preserve">. </w:t>
      </w:r>
      <w:r w:rsidRPr="008B76DC">
        <w:rPr>
          <w:rFonts w:ascii="Arial" w:hAnsi="Arial" w:cs="Arial"/>
          <w:sz w:val="24"/>
          <w:lang w:val="en-US"/>
        </w:rPr>
        <w:t>The study included 133 students. A significant difference was observed in the acquisition of knowledge in both disciplines regarding students' performance in the applied tests in all cognitive levels. This is the first study relating Pharmaceutical Care and Blended Learning.</w:t>
      </w:r>
    </w:p>
    <w:p w:rsidR="00187C4E" w:rsidRPr="008B76DC" w:rsidRDefault="00187C4E" w:rsidP="00310C02">
      <w:pPr>
        <w:spacing w:after="0" w:line="480" w:lineRule="auto"/>
        <w:rPr>
          <w:rFonts w:ascii="Arial" w:hAnsi="Arial" w:cs="Arial"/>
          <w:sz w:val="24"/>
          <w:lang w:val="en-US"/>
        </w:rPr>
      </w:pPr>
      <w:r w:rsidRPr="008B76DC">
        <w:rPr>
          <w:rFonts w:ascii="Arial" w:hAnsi="Arial" w:cs="Arial"/>
          <w:sz w:val="24"/>
          <w:lang w:val="en-US"/>
        </w:rPr>
        <w:t>Keywords: Blended learning; Pharmaceutical Care; Higher education; Bloom’s taxonomy; multiple-choice questions</w:t>
      </w:r>
    </w:p>
    <w:p w:rsidR="006E1E7E" w:rsidRPr="008B76DC" w:rsidRDefault="006E1E7E" w:rsidP="00310C02">
      <w:pPr>
        <w:spacing w:after="0" w:line="480" w:lineRule="auto"/>
        <w:rPr>
          <w:rFonts w:ascii="Arial" w:hAnsi="Arial" w:cs="Arial"/>
          <w:sz w:val="24"/>
          <w:lang w:val="en-US"/>
        </w:rPr>
      </w:pPr>
    </w:p>
    <w:p w:rsidR="007C7083" w:rsidRPr="009A48BD" w:rsidRDefault="007C7083" w:rsidP="00310C02">
      <w:pPr>
        <w:spacing w:after="0" w:line="480" w:lineRule="auto"/>
        <w:jc w:val="both"/>
        <w:rPr>
          <w:rFonts w:ascii="Arial" w:hAnsi="Arial" w:cs="Arial"/>
          <w:sz w:val="24"/>
          <w:szCs w:val="24"/>
          <w:lang w:val="en-US"/>
        </w:rPr>
      </w:pPr>
      <w:r w:rsidRPr="009A48BD">
        <w:rPr>
          <w:rFonts w:ascii="Arial" w:hAnsi="Arial" w:cs="Arial"/>
          <w:sz w:val="24"/>
          <w:szCs w:val="24"/>
          <w:lang w:val="en-US"/>
        </w:rPr>
        <w:t>In this manuscript we show the importance of active methodologies and blended learning in the teaching-learning process. They are a worldwide trend and are increasingly pr</w:t>
      </w:r>
      <w:r>
        <w:rPr>
          <w:rFonts w:ascii="Arial" w:hAnsi="Arial" w:cs="Arial"/>
          <w:sz w:val="24"/>
          <w:szCs w:val="24"/>
          <w:lang w:val="en-US"/>
        </w:rPr>
        <w:t>esent in teaching methodologies.</w:t>
      </w:r>
      <w:r w:rsidR="00D0464A">
        <w:rPr>
          <w:rFonts w:ascii="Arial" w:hAnsi="Arial" w:cs="Arial"/>
          <w:sz w:val="24"/>
          <w:szCs w:val="24"/>
          <w:lang w:val="en-US"/>
        </w:rPr>
        <w:t xml:space="preserve"> </w:t>
      </w:r>
      <w:r w:rsidRPr="009A48BD">
        <w:rPr>
          <w:rFonts w:ascii="Arial" w:hAnsi="Arial" w:cs="Arial"/>
          <w:sz w:val="24"/>
          <w:szCs w:val="24"/>
          <w:lang w:val="en-US"/>
        </w:rPr>
        <w:t>This manuscript has not been published and is not under consideration for publication elsewhere, and we have no conflicts of interest to disclose.</w:t>
      </w:r>
    </w:p>
    <w:p w:rsidR="00145700" w:rsidRDefault="00145700" w:rsidP="00310C02">
      <w:pPr>
        <w:spacing w:after="0" w:line="360" w:lineRule="auto"/>
        <w:rPr>
          <w:rFonts w:ascii="Arial" w:hAnsi="Arial" w:cs="Arial"/>
          <w:sz w:val="24"/>
          <w:szCs w:val="24"/>
          <w:lang w:val="en-US"/>
        </w:rPr>
      </w:pPr>
    </w:p>
    <w:p w:rsidR="00F9684D" w:rsidRDefault="00F9684D" w:rsidP="00310C02">
      <w:pPr>
        <w:spacing w:after="0" w:line="360" w:lineRule="auto"/>
        <w:rPr>
          <w:rFonts w:ascii="Arial" w:hAnsi="Arial" w:cs="Arial"/>
          <w:sz w:val="24"/>
          <w:szCs w:val="24"/>
          <w:lang w:val="en-US"/>
        </w:rPr>
      </w:pPr>
    </w:p>
    <w:p w:rsidR="00F9684D" w:rsidRPr="008B76DC" w:rsidRDefault="00F9684D" w:rsidP="00310C02">
      <w:pPr>
        <w:spacing w:after="0" w:line="360" w:lineRule="auto"/>
        <w:rPr>
          <w:rFonts w:ascii="Arial" w:hAnsi="Arial" w:cs="Arial"/>
          <w:sz w:val="24"/>
          <w:szCs w:val="24"/>
          <w:lang w:val="en-US"/>
        </w:rPr>
      </w:pPr>
    </w:p>
    <w:p w:rsidR="007664AF" w:rsidRPr="008B76DC" w:rsidRDefault="007664AF" w:rsidP="00310C02">
      <w:pPr>
        <w:spacing w:after="0" w:line="360" w:lineRule="auto"/>
        <w:rPr>
          <w:rFonts w:ascii="Arial" w:hAnsi="Arial" w:cs="Arial"/>
          <w:b/>
          <w:sz w:val="24"/>
          <w:szCs w:val="24"/>
          <w:lang w:val="en-US"/>
        </w:rPr>
      </w:pPr>
      <w:r w:rsidRPr="008B76DC">
        <w:rPr>
          <w:rFonts w:ascii="Arial" w:hAnsi="Arial" w:cs="Arial"/>
          <w:b/>
          <w:sz w:val="24"/>
          <w:szCs w:val="24"/>
          <w:lang w:val="en-US"/>
        </w:rPr>
        <w:lastRenderedPageBreak/>
        <w:t xml:space="preserve">1. </w:t>
      </w:r>
      <w:r w:rsidR="00EE2FAB" w:rsidRPr="00EE2FAB">
        <w:rPr>
          <w:rFonts w:ascii="Arial" w:hAnsi="Arial" w:cs="Arial"/>
          <w:b/>
          <w:sz w:val="24"/>
          <w:szCs w:val="24"/>
          <w:lang w:val="en-US"/>
        </w:rPr>
        <w:t>BACKGROUND AND PURPOSE</w:t>
      </w:r>
    </w:p>
    <w:p w:rsidR="00723C6F" w:rsidRPr="008B76DC" w:rsidRDefault="00723C6F" w:rsidP="00310C02">
      <w:pPr>
        <w:spacing w:after="0" w:line="360" w:lineRule="auto"/>
        <w:rPr>
          <w:rFonts w:ascii="Arial" w:hAnsi="Arial" w:cs="Arial"/>
          <w:sz w:val="24"/>
          <w:szCs w:val="24"/>
          <w:lang w:val="en-US"/>
        </w:rPr>
      </w:pPr>
    </w:p>
    <w:p w:rsidR="001A4FBD" w:rsidRPr="008B76DC" w:rsidRDefault="004A4221"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National</w:t>
      </w:r>
      <w:r w:rsidR="00B43D9B" w:rsidRPr="008B76DC">
        <w:rPr>
          <w:rFonts w:ascii="Arial" w:hAnsi="Arial" w:cs="Arial"/>
          <w:sz w:val="24"/>
          <w:szCs w:val="24"/>
          <w:lang w:val="en-US"/>
        </w:rPr>
        <w:t xml:space="preserve"> Guidelines for Undergraduate</w:t>
      </w:r>
      <w:r w:rsidRPr="008B76DC">
        <w:rPr>
          <w:rFonts w:ascii="Arial" w:hAnsi="Arial" w:cs="Arial"/>
          <w:sz w:val="24"/>
          <w:szCs w:val="24"/>
          <w:lang w:val="en-US"/>
        </w:rPr>
        <w:t xml:space="preserve"> Education in Pharmacy</w:t>
      </w:r>
      <w:r w:rsidR="00B43D9B" w:rsidRPr="008B76DC">
        <w:rPr>
          <w:rFonts w:ascii="Arial" w:hAnsi="Arial" w:cs="Arial"/>
          <w:sz w:val="24"/>
          <w:szCs w:val="24"/>
          <w:lang w:val="en-US"/>
        </w:rPr>
        <w:t xml:space="preserve"> are based on a generalist, critical, humanist, and reflective educa</w:t>
      </w:r>
      <w:r w:rsidR="00EF39F3" w:rsidRPr="008B76DC">
        <w:rPr>
          <w:rFonts w:ascii="Arial" w:hAnsi="Arial" w:cs="Arial"/>
          <w:sz w:val="24"/>
          <w:szCs w:val="24"/>
          <w:lang w:val="en-US"/>
        </w:rPr>
        <w:t xml:space="preserve">tion. It is articulated with </w:t>
      </w:r>
      <w:r w:rsidR="00B43D9B" w:rsidRPr="008B76DC">
        <w:rPr>
          <w:rFonts w:ascii="Arial" w:hAnsi="Arial" w:cs="Arial"/>
          <w:sz w:val="24"/>
          <w:szCs w:val="24"/>
          <w:lang w:val="en-US"/>
        </w:rPr>
        <w:t>guidelines of the Unified Health System enabling pharmacists to exercise activities related to their competencies with general and specific skills. Since then, Pharmacy courses in Brazil started discussing a curriculum reform aiming to suit the current legislation through the development of new</w:t>
      </w:r>
      <w:r w:rsidR="008C26A1" w:rsidRPr="008B76DC">
        <w:rPr>
          <w:rFonts w:ascii="Arial" w:hAnsi="Arial" w:cs="Arial"/>
          <w:sz w:val="24"/>
          <w:szCs w:val="24"/>
          <w:lang w:val="en-US"/>
        </w:rPr>
        <w:t xml:space="preserve"> political-pedagogical projects</w:t>
      </w:r>
      <w:r w:rsidR="001A4FBD" w:rsidRPr="008B76DC">
        <w:rPr>
          <w:rFonts w:ascii="Arial" w:hAnsi="Arial" w:cs="Arial"/>
          <w:sz w:val="24"/>
          <w:szCs w:val="24"/>
          <w:lang w:val="en-US"/>
        </w:rPr>
        <w:t>.</w:t>
      </w:r>
      <w:r w:rsidR="008C26A1"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8C26A1" w:rsidRPr="008B76DC">
        <w:rPr>
          <w:rFonts w:ascii="Arial" w:hAnsi="Arial" w:cs="Arial"/>
          <w:sz w:val="24"/>
          <w:szCs w:val="24"/>
          <w:lang w:val="en-US"/>
        </w:rPr>
        <w:instrText>ADDIN CSL_CITATION { "citationItems" : [ { "id" : "ITEM-1", "itemData" : { "id" : "ITEM-1", "issued" : { "date-parts" : [ [ "0" ] ] }, "publisher-place" : "Bras\u00edlia, DF.", "title" : "BRASIL. Minist\u00e9rio da Educa\u00e7\u00e3o. Resolu\u00e7\u00e3o CNE/CES n\u00ba 02, de 19 de fevereiro de 2002. Institui Diretrizes Curriculares Nacionais do Curso de Gradua\u00e7\u00e3o em Farm\u00e1cia. Di\u00e1rio Oficial da Rep\u00fablica Federativa do Brasil", "type" : "legislation" }, "uris" : [ "http://www.mendeley.com/documents/?uuid=eb18d435-e9e9-4dd7-8cf0-9dd42e02d079" ] } ], "mendeley" : { "formattedCitation" : "&lt;sup&gt;1&lt;/sup&gt;", "plainTextFormattedCitation" : "1", "previouslyFormattedCitation" : "&lt;sup&gt;1&lt;/sup&gt;"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8C26A1" w:rsidRPr="008B76DC">
        <w:rPr>
          <w:rFonts w:ascii="Arial" w:hAnsi="Arial" w:cs="Arial"/>
          <w:noProof/>
          <w:sz w:val="24"/>
          <w:szCs w:val="24"/>
          <w:vertAlign w:val="superscript"/>
          <w:lang w:val="en-US"/>
        </w:rPr>
        <w:t>1</w:t>
      </w:r>
      <w:r w:rsidR="00771EBF" w:rsidRPr="008B76DC">
        <w:rPr>
          <w:rFonts w:ascii="Arial" w:hAnsi="Arial" w:cs="Arial"/>
          <w:sz w:val="24"/>
          <w:szCs w:val="24"/>
          <w:lang w:val="en-US"/>
        </w:rPr>
        <w:fldChar w:fldCharType="end"/>
      </w:r>
      <w:r w:rsidR="001A4FBD" w:rsidRPr="008B76DC">
        <w:rPr>
          <w:rFonts w:ascii="Arial" w:hAnsi="Arial" w:cs="Arial"/>
          <w:sz w:val="24"/>
          <w:szCs w:val="24"/>
          <w:lang w:val="en-US"/>
        </w:rPr>
        <w:t xml:space="preserve"> </w:t>
      </w:r>
    </w:p>
    <w:p w:rsidR="001A4FBD" w:rsidRPr="008B76DC" w:rsidRDefault="00EF39F3"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C</w:t>
      </w:r>
      <w:r w:rsidR="00730B16" w:rsidRPr="008B76DC">
        <w:rPr>
          <w:rFonts w:ascii="Arial" w:hAnsi="Arial" w:cs="Arial"/>
          <w:sz w:val="24"/>
          <w:szCs w:val="24"/>
          <w:lang w:val="en-US"/>
        </w:rPr>
        <w:t>ompetencies and general skills establi</w:t>
      </w:r>
      <w:r w:rsidR="004A4221" w:rsidRPr="008B76DC">
        <w:rPr>
          <w:rFonts w:ascii="Arial" w:hAnsi="Arial" w:cs="Arial"/>
          <w:sz w:val="24"/>
          <w:szCs w:val="24"/>
          <w:lang w:val="en-US"/>
        </w:rPr>
        <w:t xml:space="preserve">shed by the National </w:t>
      </w:r>
      <w:r w:rsidR="00730B16" w:rsidRPr="008B76DC">
        <w:rPr>
          <w:rFonts w:ascii="Arial" w:hAnsi="Arial" w:cs="Arial"/>
          <w:sz w:val="24"/>
          <w:szCs w:val="24"/>
          <w:lang w:val="en-US"/>
        </w:rPr>
        <w:t>Guidelines for Undergraduate</w:t>
      </w:r>
      <w:r w:rsidR="00DD3BD3" w:rsidRPr="008B76DC">
        <w:rPr>
          <w:rFonts w:ascii="Arial" w:hAnsi="Arial" w:cs="Arial"/>
          <w:sz w:val="24"/>
          <w:szCs w:val="24"/>
          <w:lang w:val="en-US"/>
        </w:rPr>
        <w:t xml:space="preserve"> </w:t>
      </w:r>
      <w:r w:rsidR="004A4221" w:rsidRPr="008B76DC">
        <w:rPr>
          <w:rFonts w:ascii="Arial" w:hAnsi="Arial" w:cs="Arial"/>
          <w:sz w:val="24"/>
          <w:szCs w:val="24"/>
          <w:lang w:val="en-US"/>
        </w:rPr>
        <w:t>Education in Pharmacy</w:t>
      </w:r>
      <w:r w:rsidR="00DD3BD3" w:rsidRPr="008B76DC">
        <w:rPr>
          <w:rFonts w:ascii="Arial" w:hAnsi="Arial" w:cs="Arial"/>
          <w:sz w:val="24"/>
          <w:szCs w:val="24"/>
          <w:lang w:val="en-US"/>
        </w:rPr>
        <w:t xml:space="preserve"> agree with</w:t>
      </w:r>
      <w:r w:rsidR="00730B16" w:rsidRPr="008B76DC">
        <w:rPr>
          <w:rFonts w:ascii="Arial" w:hAnsi="Arial" w:cs="Arial"/>
          <w:sz w:val="24"/>
          <w:szCs w:val="24"/>
          <w:lang w:val="en-US"/>
        </w:rPr>
        <w:t xml:space="preserve"> competencies established by the World Health Organization and International Pharmaceutical Federati</w:t>
      </w:r>
      <w:r w:rsidR="00DD3BD3" w:rsidRPr="008B76DC">
        <w:rPr>
          <w:rFonts w:ascii="Arial" w:hAnsi="Arial" w:cs="Arial"/>
          <w:sz w:val="24"/>
          <w:szCs w:val="24"/>
          <w:lang w:val="en-US"/>
        </w:rPr>
        <w:t xml:space="preserve">on (FIP) for </w:t>
      </w:r>
      <w:r w:rsidR="00730B16" w:rsidRPr="008B76DC">
        <w:rPr>
          <w:rFonts w:ascii="Arial" w:hAnsi="Arial" w:cs="Arial"/>
          <w:sz w:val="24"/>
          <w:szCs w:val="24"/>
          <w:lang w:val="en-US"/>
        </w:rPr>
        <w:t>pharmacists</w:t>
      </w:r>
      <w:r w:rsidR="008C26A1" w:rsidRPr="008B76DC">
        <w:rPr>
          <w:rFonts w:ascii="Arial" w:hAnsi="Arial" w:cs="Arial"/>
          <w:sz w:val="24"/>
          <w:szCs w:val="24"/>
          <w:lang w:val="en-US"/>
        </w:rPr>
        <w:t>’ education in the 21st century</w:t>
      </w:r>
      <w:r w:rsidR="00CD04E2" w:rsidRPr="008B76DC">
        <w:rPr>
          <w:rFonts w:ascii="Arial" w:hAnsi="Arial" w:cs="Arial"/>
          <w:sz w:val="24"/>
          <w:szCs w:val="24"/>
          <w:lang w:val="en-US"/>
        </w:rPr>
        <w:t>.</w:t>
      </w:r>
      <w:r w:rsidR="008C26A1"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CD04E2" w:rsidRPr="008B76DC">
        <w:rPr>
          <w:rFonts w:ascii="Arial" w:hAnsi="Arial" w:cs="Arial"/>
          <w:sz w:val="24"/>
          <w:szCs w:val="24"/>
          <w:lang w:val="en-US"/>
        </w:rPr>
        <w:instrText>ADDIN CSL_CITATION { "citationItems" : [ { "id" : "ITEM-1", "itemData" : { "URL" : "http://apps.who.int/medicinedocs/pdf/s2214e/s2214e.pdf", "accessed" : { "date-parts" : [ [ "2016", "3", "20" ] ] }, "author" : [ { "dropping-particle" : "", "family" : "WHO", "given" : "World Health Organization.", "non-dropping-particle" : "", "parse-names" : false, "suffix" : "" } ], "id" : "ITEM-1", "issued" : { "date-parts" : [ [ "1997" ] ] }, "title" : "The role of the pharmacist in the health care system, preparing the future pharmacist: curricular development: report of a third WHO Consultative Group on the role of the Pharmacist, World Health Organization", "type" : "webpage" }, "uris" : [ "http://www.mendeley.com/documents/?uuid=dafe0f26-a72a-4287-aa2d-f1b979827059" ] } ], "mendeley" : { "formattedCitation" : "&lt;sup&gt;2&lt;/sup&gt;", "plainTextFormattedCitation" : "2", "previouslyFormattedCitation" : "&lt;sup&gt;2&lt;/sup&gt;"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8C26A1" w:rsidRPr="008B76DC">
        <w:rPr>
          <w:rFonts w:ascii="Arial" w:hAnsi="Arial" w:cs="Arial"/>
          <w:noProof/>
          <w:sz w:val="24"/>
          <w:szCs w:val="24"/>
          <w:vertAlign w:val="superscript"/>
          <w:lang w:val="en-US"/>
        </w:rPr>
        <w:t>2</w:t>
      </w:r>
      <w:r w:rsidR="00771EBF" w:rsidRPr="008B76DC">
        <w:rPr>
          <w:rFonts w:ascii="Arial" w:hAnsi="Arial" w:cs="Arial"/>
          <w:sz w:val="24"/>
          <w:szCs w:val="24"/>
          <w:lang w:val="en-US"/>
        </w:rPr>
        <w:fldChar w:fldCharType="end"/>
      </w:r>
    </w:p>
    <w:p w:rsidR="001A4FBD" w:rsidRDefault="006405FC"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With the generalist curriculum rece</w:t>
      </w:r>
      <w:r w:rsidR="00FB083B" w:rsidRPr="008B76DC">
        <w:rPr>
          <w:rFonts w:ascii="Arial" w:hAnsi="Arial" w:cs="Arial"/>
          <w:sz w:val="24"/>
          <w:szCs w:val="24"/>
          <w:lang w:val="en-US"/>
        </w:rPr>
        <w:t xml:space="preserve">ntly implemented in Brazil, </w:t>
      </w:r>
      <w:r w:rsidRPr="008B76DC">
        <w:rPr>
          <w:rFonts w:ascii="Arial" w:hAnsi="Arial" w:cs="Arial"/>
          <w:sz w:val="24"/>
          <w:szCs w:val="24"/>
          <w:lang w:val="en-US"/>
        </w:rPr>
        <w:t>Pharmaceutical Care becomes part of the essential content for degree courses in pharmacy.</w:t>
      </w:r>
      <w:r w:rsidR="00C03A76" w:rsidRPr="008B76DC">
        <w:rPr>
          <w:rFonts w:ascii="Arial" w:hAnsi="Arial" w:cs="Arial"/>
          <w:sz w:val="24"/>
          <w:szCs w:val="24"/>
          <w:lang w:val="en-US"/>
        </w:rPr>
        <w:t xml:space="preserve"> Since the first publication (“</w:t>
      </w:r>
      <w:r w:rsidR="00C03A76" w:rsidRPr="008B76DC">
        <w:rPr>
          <w:rFonts w:ascii="Arial" w:hAnsi="Arial" w:cs="Arial"/>
          <w:i/>
          <w:sz w:val="24"/>
          <w:szCs w:val="24"/>
          <w:lang w:val="en-US"/>
        </w:rPr>
        <w:t>Opportunities and responsibilities in pharmaceutical care</w:t>
      </w:r>
      <w:r w:rsidR="00CD04E2" w:rsidRPr="008B76DC">
        <w:rPr>
          <w:rFonts w:ascii="Arial" w:hAnsi="Arial" w:cs="Arial"/>
          <w:sz w:val="24"/>
          <w:szCs w:val="24"/>
          <w:lang w:val="en-US"/>
        </w:rPr>
        <w:t xml:space="preserve">” by </w:t>
      </w:r>
      <w:r w:rsidR="00771EBF" w:rsidRPr="008B76DC">
        <w:rPr>
          <w:rFonts w:ascii="Arial" w:hAnsi="Arial" w:cs="Arial"/>
          <w:sz w:val="24"/>
          <w:szCs w:val="24"/>
          <w:lang w:val="en-US"/>
        </w:rPr>
        <w:fldChar w:fldCharType="begin" w:fldLock="1"/>
      </w:r>
      <w:r w:rsidR="00CD04E2" w:rsidRPr="008B76DC">
        <w:rPr>
          <w:rFonts w:ascii="Arial" w:hAnsi="Arial" w:cs="Arial"/>
          <w:sz w:val="24"/>
          <w:szCs w:val="24"/>
          <w:lang w:val="en-US"/>
        </w:rPr>
        <w:instrText>ADDIN CSL_CITATION { "citationItems" : [ { "id" : "ITEM-1", "itemData" : { "ISBN" : "0002-9289 (Print)\\r0002-9289 (Linking)", "ISSN" : "0002-9289", "PMID" : "2316538", "abstract" : "Pharmacy's opportunity to mature as a profession by accepting its social responsibility to reduce preventable drug-related morbidity and mortality is explored. Pharmacy has shed the apothecary role but has not yet been restored to its erst-while importance in medical care. It is not enough to dispense the correct drug or to provide sophisticated pharmaceutical services; nor will it be sufficient to devise new technical functions. Pharmacists and their institutions must stop looking inward and start redirecting their energies to the greater social good. Some 12,000 deaths and 15,000 hospitalizations due to adverse drug reactions (ADRs) were reported to the FDA in 1987, and many went unreported. Drug-related morbidity and mortality are often preventable, and pharmaceutical services can reduce the number of ADRs, the length of hospital stays, and the cost of care. Pharmacists must abandon factionalism and adopt patient-centered pharmaceutical care as their philosophy of practice. Changing the focus of practice from products and biological systems to ensuring the best drug therapy and patient safety will raise pharmacy's level of responsibility and require philosophical, organizational, and functional changes. It will be necessary to set new practice standards, establish cooperative relationships with other health-care professions, and determine strategies for marketing pharmaceutical care. Pharmacy's reprofessionalization will be completed only when all pharmacists accept their social mandate to ensure the safe and effective drug therapy of the individual patient.", "author" : [ { "dropping-particle" : "", "family" : "Hepler", "given" : "C D", "non-dropping-particle" : "", "parse-names" : false, "suffix" : "" }, { "dropping-particle" : "", "family" : "Strand", "given" : "L M", "non-dropping-particle" : "", "parse-names" : false, "suffix" : "" } ], "container-title" : "American journal of hospital pharmacy", "id" : "ITEM-1", "issue" : "3", "issued" : { "date-parts" : [ [ "1990" ] ] }, "page" : "533-43", "title" : "Opportunities and responsibilities in pharmaceutical care.", "type" : "article-journal", "volume" : "47" }, "uris" : [ "http://www.mendeley.com/documents/?uuid=886152c1-c646-4e57-96c5-b03038220d43" ] } ], "mendeley" : { "formattedCitation" : "&lt;sup&gt;3&lt;/sup&gt;", "plainTextFormattedCitation" : "3", "previouslyFormattedCitation" : "&lt;sup&gt;3&lt;/sup&gt;"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CD04E2" w:rsidRPr="008B76DC">
        <w:rPr>
          <w:rFonts w:ascii="Arial" w:hAnsi="Arial" w:cs="Arial"/>
          <w:noProof/>
          <w:sz w:val="24"/>
          <w:szCs w:val="24"/>
          <w:vertAlign w:val="superscript"/>
          <w:lang w:val="en-US"/>
        </w:rPr>
        <w:t>3</w:t>
      </w:r>
      <w:r w:rsidR="00771EBF" w:rsidRPr="008B76DC">
        <w:rPr>
          <w:rFonts w:ascii="Arial" w:hAnsi="Arial" w:cs="Arial"/>
          <w:sz w:val="24"/>
          <w:szCs w:val="24"/>
          <w:lang w:val="en-US"/>
        </w:rPr>
        <w:fldChar w:fldCharType="end"/>
      </w:r>
      <w:r w:rsidR="00C03A76" w:rsidRPr="008B76DC">
        <w:rPr>
          <w:rFonts w:ascii="Arial" w:hAnsi="Arial" w:cs="Arial"/>
          <w:sz w:val="24"/>
          <w:szCs w:val="24"/>
          <w:lang w:val="en-US"/>
        </w:rPr>
        <w:t>),</w:t>
      </w:r>
      <w:r w:rsidR="00054AAE" w:rsidRPr="008B76DC">
        <w:rPr>
          <w:rFonts w:ascii="Arial" w:hAnsi="Arial" w:cs="Arial"/>
          <w:sz w:val="24"/>
          <w:szCs w:val="24"/>
          <w:lang w:val="en-US"/>
        </w:rPr>
        <w:t xml:space="preserve"> Pharmaceutical Care is a world novelty. It is related to the health-disease process of human beings, communities, families and also is interconnected to the professio</w:t>
      </w:r>
      <w:r w:rsidR="00CD04E2" w:rsidRPr="008B76DC">
        <w:rPr>
          <w:rFonts w:ascii="Arial" w:hAnsi="Arial" w:cs="Arial"/>
          <w:sz w:val="24"/>
          <w:szCs w:val="24"/>
          <w:lang w:val="en-US"/>
        </w:rPr>
        <w:t>nal and epidemiological reality</w:t>
      </w:r>
      <w:r w:rsidR="004A3344"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CD04E2" w:rsidRPr="008B76DC">
        <w:rPr>
          <w:rFonts w:ascii="Arial" w:hAnsi="Arial" w:cs="Arial"/>
          <w:sz w:val="24"/>
          <w:szCs w:val="24"/>
          <w:lang w:val="en-US"/>
        </w:rPr>
        <w:instrText>ADDIN CSL_CITATION { "citationItems" : [ { "id" : "ITEM-1", "itemData" : { "id" : "ITEM-1", "issued" : { "date-parts" : [ [ "0" ] ] }, "publisher-place" : "Bras\u00edlia, DF.", "title" : "BRASIL. Minist\u00e9rio da Educa\u00e7\u00e3o. Resolu\u00e7\u00e3o CNE/CES n\u00ba 02, de 19 de fevereiro de 2002. Institui Diretrizes Curriculares Nacionais do Curso de Gradua\u00e7\u00e3o em Farm\u00e1cia. Di\u00e1rio Oficial da Rep\u00fablica Federativa do Brasil", "type" : "legislation" }, "uris" : [ "http://www.mendeley.com/documents/?uuid=eb18d435-e9e9-4dd7-8cf0-9dd42e02d079" ] } ], "mendeley" : { "formattedCitation" : "&lt;sup&gt;1&lt;/sup&gt;", "plainTextFormattedCitation" : "1", "previouslyFormattedCitation" : "&lt;sup&gt;1&lt;/sup&gt;"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CD04E2" w:rsidRPr="008B76DC">
        <w:rPr>
          <w:rFonts w:ascii="Arial" w:hAnsi="Arial" w:cs="Arial"/>
          <w:noProof/>
          <w:sz w:val="24"/>
          <w:szCs w:val="24"/>
          <w:vertAlign w:val="superscript"/>
          <w:lang w:val="en-US"/>
        </w:rPr>
        <w:t>1</w:t>
      </w:r>
      <w:r w:rsidR="00771EBF" w:rsidRPr="008B76DC">
        <w:rPr>
          <w:rFonts w:ascii="Arial" w:hAnsi="Arial" w:cs="Arial"/>
          <w:sz w:val="24"/>
          <w:szCs w:val="24"/>
          <w:lang w:val="en-US"/>
        </w:rPr>
        <w:fldChar w:fldCharType="end"/>
      </w:r>
      <w:r w:rsidR="00FA00C3">
        <w:rPr>
          <w:rFonts w:ascii="Arial" w:hAnsi="Arial" w:cs="Arial"/>
          <w:sz w:val="24"/>
          <w:szCs w:val="24"/>
          <w:lang w:val="en-US"/>
        </w:rPr>
        <w:t xml:space="preserve"> </w:t>
      </w:r>
    </w:p>
    <w:p w:rsidR="00FA00C3" w:rsidRPr="00FA00C3" w:rsidRDefault="00FA00C3" w:rsidP="00FA00C3">
      <w:pPr>
        <w:spacing w:after="0" w:line="480" w:lineRule="auto"/>
        <w:ind w:firstLine="708"/>
        <w:rPr>
          <w:rFonts w:ascii="Arial" w:hAnsi="Arial" w:cs="Arial"/>
          <w:sz w:val="24"/>
          <w:szCs w:val="24"/>
          <w:lang w:val="en-US"/>
        </w:rPr>
      </w:pPr>
      <w:r w:rsidRPr="00FA00C3">
        <w:rPr>
          <w:rFonts w:ascii="Arial" w:hAnsi="Arial" w:cs="Arial"/>
          <w:sz w:val="24"/>
          <w:szCs w:val="24"/>
          <w:lang w:val="en-US"/>
        </w:rPr>
        <w:t>By analyzing the pharmaceutical functions in the care system to health the World Health Organization - WHO extends the benefit of pharmaceutical care for the whole community recognizing the importance of the pharmacist involvement with the health staff in disease prevention and health promotion. In the view of WHO pharmaceutical care is:</w:t>
      </w:r>
    </w:p>
    <w:p w:rsidR="00FA00C3" w:rsidRPr="008B76DC" w:rsidRDefault="00FA00C3" w:rsidP="00FA00C3">
      <w:pPr>
        <w:spacing w:after="0" w:line="480" w:lineRule="auto"/>
        <w:ind w:firstLine="708"/>
        <w:jc w:val="both"/>
        <w:rPr>
          <w:rFonts w:ascii="Arial" w:hAnsi="Arial" w:cs="Arial"/>
          <w:sz w:val="24"/>
          <w:szCs w:val="24"/>
          <w:lang w:val="en-US"/>
        </w:rPr>
      </w:pPr>
      <w:r w:rsidRPr="00FA00C3">
        <w:rPr>
          <w:rFonts w:ascii="Arial" w:hAnsi="Arial" w:cs="Arial"/>
          <w:sz w:val="24"/>
          <w:szCs w:val="24"/>
          <w:lang w:val="en-US"/>
        </w:rPr>
        <w:t xml:space="preserve">"A concept of professional practice in which the patient is the main beneficiary of the pharmacist's actions. The pharmaceutical care is the compendium of attitudes, behaviors, commitments, concerns, ethical values, functions, knowledge, </w:t>
      </w:r>
      <w:r w:rsidRPr="00FA00C3">
        <w:rPr>
          <w:rFonts w:ascii="Arial" w:hAnsi="Arial" w:cs="Arial"/>
          <w:sz w:val="24"/>
          <w:szCs w:val="24"/>
          <w:lang w:val="en-US"/>
        </w:rPr>
        <w:lastRenderedPageBreak/>
        <w:t>responsibilities and pharmacists' skills in providing of pharmacotherapy in order to achieve therapeutic results defined in the health and the patient</w:t>
      </w:r>
      <w:r>
        <w:rPr>
          <w:rFonts w:ascii="Arial" w:hAnsi="Arial" w:cs="Arial"/>
          <w:sz w:val="24"/>
          <w:szCs w:val="24"/>
          <w:lang w:val="en-US"/>
        </w:rPr>
        <w:t>'s quality of life”</w:t>
      </w:r>
      <w:r w:rsidRPr="00FA00C3">
        <w:rPr>
          <w:rFonts w:ascii="Arial" w:hAnsi="Arial" w:cs="Arial"/>
          <w:sz w:val="24"/>
          <w:szCs w:val="24"/>
          <w:vertAlign w:val="superscript"/>
          <w:lang w:val="en-US"/>
        </w:rPr>
        <w:t>2</w:t>
      </w:r>
      <w:r>
        <w:rPr>
          <w:rFonts w:ascii="Arial" w:hAnsi="Arial" w:cs="Arial"/>
          <w:sz w:val="24"/>
          <w:szCs w:val="24"/>
          <w:lang w:val="en-US"/>
        </w:rPr>
        <w:t xml:space="preserve"> </w:t>
      </w:r>
    </w:p>
    <w:p w:rsidR="001A4FBD" w:rsidRPr="008B76DC" w:rsidRDefault="006405FC"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For a l</w:t>
      </w:r>
      <w:r w:rsidR="0050044C" w:rsidRPr="008B76DC">
        <w:rPr>
          <w:rFonts w:ascii="Arial" w:hAnsi="Arial" w:cs="Arial"/>
          <w:sz w:val="24"/>
          <w:szCs w:val="24"/>
          <w:lang w:val="en-US"/>
        </w:rPr>
        <w:t>ong time, pharmacists had their</w:t>
      </w:r>
      <w:r w:rsidRPr="008B76DC">
        <w:rPr>
          <w:rFonts w:ascii="Arial" w:hAnsi="Arial" w:cs="Arial"/>
          <w:sz w:val="24"/>
          <w:szCs w:val="24"/>
          <w:lang w:val="en-US"/>
        </w:rPr>
        <w:t xml:space="preserve"> role of health professional</w:t>
      </w:r>
      <w:r w:rsidR="0050044C" w:rsidRPr="008B76DC">
        <w:rPr>
          <w:rFonts w:ascii="Arial" w:hAnsi="Arial" w:cs="Arial"/>
          <w:sz w:val="24"/>
          <w:szCs w:val="24"/>
          <w:lang w:val="en-US"/>
        </w:rPr>
        <w:t>s</w:t>
      </w:r>
      <w:r w:rsidRPr="008B76DC">
        <w:rPr>
          <w:rFonts w:ascii="Arial" w:hAnsi="Arial" w:cs="Arial"/>
          <w:sz w:val="24"/>
          <w:szCs w:val="24"/>
          <w:lang w:val="en-US"/>
        </w:rPr>
        <w:t xml:space="preserve"> overlooked in relation to health care. </w:t>
      </w:r>
      <w:r w:rsidR="00943152" w:rsidRPr="008B76DC">
        <w:rPr>
          <w:rFonts w:ascii="Arial" w:hAnsi="Arial" w:cs="Arial"/>
          <w:sz w:val="24"/>
          <w:szCs w:val="24"/>
          <w:lang w:val="en-US"/>
        </w:rPr>
        <w:t>H</w:t>
      </w:r>
      <w:r w:rsidR="00E61BFB" w:rsidRPr="008B76DC">
        <w:rPr>
          <w:rFonts w:ascii="Arial" w:hAnsi="Arial" w:cs="Arial"/>
          <w:sz w:val="24"/>
          <w:szCs w:val="24"/>
          <w:lang w:val="en-US"/>
        </w:rPr>
        <w:t xml:space="preserve">istorical changes in production processes and the influence of these changes in academic curriculums culminated in a technicist professional, with compartmented knowledge, decontextualized from the multidisciplinary team, while maintaining a closer relationship with drugs rather than patients. </w:t>
      </w:r>
      <w:r w:rsidR="00943152" w:rsidRPr="008B76DC">
        <w:rPr>
          <w:rFonts w:ascii="Arial" w:hAnsi="Arial" w:cs="Arial"/>
          <w:sz w:val="24"/>
          <w:szCs w:val="24"/>
          <w:lang w:val="en-US"/>
        </w:rPr>
        <w:t>In order to be responsible for</w:t>
      </w:r>
      <w:r w:rsidR="00E61BFB" w:rsidRPr="008B76DC">
        <w:rPr>
          <w:rFonts w:ascii="Arial" w:hAnsi="Arial" w:cs="Arial"/>
          <w:sz w:val="24"/>
          <w:szCs w:val="24"/>
          <w:lang w:val="en-US"/>
        </w:rPr>
        <w:t xml:space="preserve"> </w:t>
      </w:r>
      <w:r w:rsidR="00F33685" w:rsidRPr="008B76DC">
        <w:rPr>
          <w:rFonts w:ascii="Arial" w:hAnsi="Arial" w:cs="Arial"/>
          <w:sz w:val="24"/>
          <w:szCs w:val="24"/>
          <w:lang w:val="en-US"/>
        </w:rPr>
        <w:t xml:space="preserve">patients’ </w:t>
      </w:r>
      <w:r w:rsidR="00E61BFB" w:rsidRPr="008B76DC">
        <w:rPr>
          <w:rFonts w:ascii="Arial" w:hAnsi="Arial" w:cs="Arial"/>
          <w:sz w:val="24"/>
          <w:szCs w:val="24"/>
          <w:lang w:val="en-US"/>
        </w:rPr>
        <w:t>welfare and become one of the health care providers in the multidisciplinary care, the clinical work promotes the reunion between pharmacists and patients</w:t>
      </w:r>
      <w:r w:rsidR="00943152" w:rsidRPr="008B76DC">
        <w:rPr>
          <w:rFonts w:ascii="Arial" w:hAnsi="Arial" w:cs="Arial"/>
          <w:sz w:val="24"/>
          <w:szCs w:val="24"/>
          <w:lang w:val="en-US"/>
        </w:rPr>
        <w:t xml:space="preserve">, </w:t>
      </w:r>
      <w:r w:rsidR="00E61BFB" w:rsidRPr="008B76DC">
        <w:rPr>
          <w:rFonts w:ascii="Arial" w:hAnsi="Arial" w:cs="Arial"/>
          <w:sz w:val="24"/>
          <w:szCs w:val="24"/>
          <w:lang w:val="en-US"/>
        </w:rPr>
        <w:t>requir</w:t>
      </w:r>
      <w:r w:rsidR="00943152" w:rsidRPr="008B76DC">
        <w:rPr>
          <w:rFonts w:ascii="Arial" w:hAnsi="Arial" w:cs="Arial"/>
          <w:sz w:val="24"/>
          <w:szCs w:val="24"/>
          <w:lang w:val="en-US"/>
        </w:rPr>
        <w:t>ing</w:t>
      </w:r>
      <w:r w:rsidR="00E61BFB" w:rsidRPr="008B76DC">
        <w:rPr>
          <w:rFonts w:ascii="Arial" w:hAnsi="Arial" w:cs="Arial"/>
          <w:sz w:val="24"/>
          <w:szCs w:val="24"/>
          <w:lang w:val="en-US"/>
        </w:rPr>
        <w:t xml:space="preserve"> new comp</w:t>
      </w:r>
      <w:r w:rsidR="00CD04E2" w:rsidRPr="008B76DC">
        <w:rPr>
          <w:rFonts w:ascii="Arial" w:hAnsi="Arial" w:cs="Arial"/>
          <w:sz w:val="24"/>
          <w:szCs w:val="24"/>
          <w:lang w:val="en-US"/>
        </w:rPr>
        <w:t>etencies from this professional</w:t>
      </w:r>
      <w:r w:rsidR="007A274C">
        <w:rPr>
          <w:rFonts w:ascii="Arial" w:hAnsi="Arial" w:cs="Arial"/>
          <w:sz w:val="24"/>
          <w:szCs w:val="24"/>
          <w:lang w:val="en-US"/>
        </w:rPr>
        <w:t>, c</w:t>
      </w:r>
      <w:r w:rsidR="007A274C" w:rsidRPr="007A274C">
        <w:rPr>
          <w:rFonts w:ascii="Arial" w:hAnsi="Arial" w:cs="Arial"/>
          <w:sz w:val="24"/>
          <w:szCs w:val="24"/>
          <w:lang w:val="en-US"/>
        </w:rPr>
        <w:t>linical pharmacy services (</w:t>
      </w:r>
      <w:proofErr w:type="spellStart"/>
      <w:r w:rsidR="007A274C" w:rsidRPr="007A274C">
        <w:rPr>
          <w:rFonts w:ascii="Arial" w:hAnsi="Arial" w:cs="Arial"/>
          <w:sz w:val="24"/>
          <w:szCs w:val="24"/>
          <w:lang w:val="en-US"/>
        </w:rPr>
        <w:t>eg</w:t>
      </w:r>
      <w:proofErr w:type="spellEnd"/>
      <w:r w:rsidR="007A274C" w:rsidRPr="007A274C">
        <w:rPr>
          <w:rFonts w:ascii="Arial" w:hAnsi="Arial" w:cs="Arial"/>
          <w:sz w:val="24"/>
          <w:szCs w:val="24"/>
          <w:lang w:val="en-US"/>
        </w:rPr>
        <w:t>. adherence to treatment, specialized dispensing, medication reconciliation)</w:t>
      </w:r>
      <w:r w:rsidR="007A274C">
        <w:rPr>
          <w:rFonts w:ascii="Arial" w:hAnsi="Arial" w:cs="Arial"/>
          <w:sz w:val="24"/>
          <w:szCs w:val="24"/>
          <w:lang w:val="en-US"/>
        </w:rPr>
        <w:t>.</w:t>
      </w:r>
      <w:r w:rsidR="00CD04E2"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CD04E2" w:rsidRPr="008B76DC">
        <w:rPr>
          <w:rFonts w:ascii="Arial" w:hAnsi="Arial" w:cs="Arial"/>
          <w:sz w:val="24"/>
          <w:szCs w:val="24"/>
          <w:lang w:val="en-US"/>
        </w:rPr>
        <w:instrText>ADDIN CSL_CITATION { "citationItems" : [ { "id" : "ITEM-1", "itemData" : { "ISBN" : "9788533421981", "author" : [ { "dropping-particle" : "", "family" : "Brasil", "given" : "", "non-dropping-particle" : "", "parse-names" : false, "suffix" : "" }, { "dropping-particle" : "", "family" : "Minist\u00e9rio da Sa\u00fade", "given" : "", "non-dropping-particle" : "", "parse-names" : false, "suffix" : "" }, { "dropping-particle" : "", "family" : "Secretaria de Ci\u00eancia", "given" : "Tecnologia E Insumos Estrat\u00e9gicos", "non-dropping-particle" : "", "parse-names" : false, "suffix" : "" }, { "dropping-particle" : "", "family" : "Departamento de Assist\u00eancia Farmac\u00eautica e Insumos Estrat\u00e9gicos", "given" : "", "non-dropping-particle" : "", "parse-names" : false, "suffix" : "" } ], "id" : "ITEM-1", "issued" : { "date-parts" : [ [ "2014" ] ] }, "number-of-pages" : "306", "title" : "Caderno 2. Capacita\u00e7\u00e3o para implanta\u00e7\u00e3o dos servi\u00e7os de cl\u00ednica farmac\u00eautica", "type" : "book" }, "uris" : [ "http://www.mendeley.com/documents/?uuid=1b428f8c-8227-4c72-a5b8-d4c199933f5d" ] } ], "mendeley" : { "formattedCitation" : "&lt;sup&gt;4&lt;/sup&gt;", "plainTextFormattedCitation" : "4", "previouslyFormattedCitation" : "&lt;sup&gt;4&lt;/sup&gt;"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CD04E2" w:rsidRPr="008B76DC">
        <w:rPr>
          <w:rFonts w:ascii="Arial" w:hAnsi="Arial" w:cs="Arial"/>
          <w:noProof/>
          <w:sz w:val="24"/>
          <w:szCs w:val="24"/>
          <w:vertAlign w:val="superscript"/>
          <w:lang w:val="en-US"/>
        </w:rPr>
        <w:t>4</w:t>
      </w:r>
      <w:r w:rsidR="00771EBF" w:rsidRPr="008B76DC">
        <w:rPr>
          <w:rFonts w:ascii="Arial" w:hAnsi="Arial" w:cs="Arial"/>
          <w:sz w:val="24"/>
          <w:szCs w:val="24"/>
          <w:lang w:val="en-US"/>
        </w:rPr>
        <w:fldChar w:fldCharType="end"/>
      </w:r>
    </w:p>
    <w:p w:rsidR="001A4FBD" w:rsidRPr="008B76DC" w:rsidRDefault="004866AD"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A movement that is gaining ground is the distance education modality. It has been used for many years in many countries - even in Brazil -, and has received a boost with new communications and information technology tools.</w:t>
      </w:r>
      <w:r w:rsidR="00723C6F" w:rsidRPr="008B76DC">
        <w:rPr>
          <w:rFonts w:ascii="Arial" w:hAnsi="Arial" w:cs="Arial"/>
          <w:sz w:val="24"/>
          <w:szCs w:val="24"/>
          <w:lang w:val="en-US"/>
        </w:rPr>
        <w:t xml:space="preserve"> </w:t>
      </w:r>
      <w:r w:rsidR="00351C79" w:rsidRPr="008B76DC">
        <w:rPr>
          <w:rFonts w:ascii="Arial" w:hAnsi="Arial" w:cs="Arial"/>
          <w:sz w:val="24"/>
          <w:szCs w:val="24"/>
          <w:lang w:val="en-US"/>
        </w:rPr>
        <w:t>The use of these technologies allowed the approximati</w:t>
      </w:r>
      <w:r w:rsidR="00CD04E2" w:rsidRPr="008B76DC">
        <w:rPr>
          <w:rFonts w:ascii="Arial" w:hAnsi="Arial" w:cs="Arial"/>
          <w:sz w:val="24"/>
          <w:szCs w:val="24"/>
          <w:lang w:val="en-US"/>
        </w:rPr>
        <w:t>on of students and universities</w:t>
      </w:r>
      <w:r w:rsidR="00723C6F"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CD04E2" w:rsidRPr="008B76DC">
        <w:rPr>
          <w:rFonts w:ascii="Arial" w:hAnsi="Arial" w:cs="Arial"/>
          <w:sz w:val="24"/>
          <w:szCs w:val="24"/>
          <w:lang w:val="en-US"/>
        </w:rPr>
        <w:instrText>ADDIN CSL_CITATION { "citationItems" : [ { "id" : "ITEM-1", "itemData" : { "DOI" : "10.1590/S0104-40362009000200007", "ISSN" : "0104-4036", "abstract" : "A Educa\u00e7\u00e3o a Dist\u00e2ncia \u00e9 um importante movimento no contexto educacional que ganhou espa\u00e7o recentemente devido ao impulso que recebeu com o desenvol-vimento das ferramentas de inform\u00e1tica e de comunica\u00e7\u00f5es. \u00c9 nesse contexto que o presente trabalho se insere, abund\u00e2ncia de recursos tecnol\u00f3gicos, rapidez nas comunica\u00e7\u00f5es, maior interatividade via internet e exig\u00eancia de capacita\u00e7\u00e3o por par-te do mercado de trabalho. O presente trabalho teve como objetivos: evidenciar a posi\u00e7\u00e3o dos acad\u00eamicos do ensino presencial sobre a metodologia de educa\u00e7\u00e3o \u00e0 dist\u00e2ncia; avaliar os pontos fortes e fracos da metodologia na opini\u00e3o dos acad\u00eami-cos; avaliar a percep\u00e7\u00e3o dos acad\u00eamicos, em rela\u00e7\u00e3o \u00e0s vantagens e desvantagens da metodologia, de educa\u00e7\u00e3o a dist\u00e2ncia em rela\u00e7\u00e3o ao ensino presencial. Foi reali-zada uma pesquisa com question\u00e1rios semiestruturados com um grupo de 30 aca-d\u00eamicos de uma Institui\u00e7\u00e3o de Ensino Superior. Com rela\u00e7\u00e3o aos resultados obti-dos, merece aten\u00e7\u00e3o a forma com que os acad\u00eamicos receberam e se inseriram na din\u00e2mica do ensino on line. A maioria dos alunos mostrou-se satisfeita com os resultados alcan\u00e7ados e com as possibilidades que a plataforma de ensino a dist\u00e2n-cia permite para a complementa\u00e7\u00e3o do aprendizado. Verificou-se que os acad\u00eamicos reconhecem a import\u00e2ncia da Educa\u00e7\u00e3o a Dis-t\u00e2ncia, mas preferem ainda o modelo tradicional do ensino presencial. Vale ressaltar que o trabalho trata de um estudo explorat\u00f3rio, onde foram levantadas quest\u00f5es sobre o assunto, as quais dever\u00e3o ser mais bem exploradas e discutidas em outros trabalhos, tais como:como os acad\u00eamicos gostariam de utilizar a ferramenta Moo-dle; quais os aspectos ou fatores motivadores do estudo a dist\u00e2ncia.", "author" : [ { "dropping-particle" : "", "family" : "Arieira", "given" : "Jailson De Oliveira", "non-dropping-particle" : "", "parse-names" : false, "suffix" : "" }, { "dropping-particle" : "", "family" : "Dias-Arieira", "given" : "Cl\u00e1udia Regina", "non-dropping-particle" : "", "parse-names" : false, "suffix" : "" }, { "dropping-particle" : "", "family" : "Fusco", "given" : "Jos\u00e9 Paulo Alves", "non-dropping-particle" : "", "parse-names" : false, "suffix" : "" }, { "dropping-particle" : "", "family" : "Sacomano", "given" : "Jos\u00e9 Benedito", "non-dropping-particle" : "", "parse-names" : false, "suffix" : "" }, { "dropping-particle" : "", "family" : "Bettega", "given" : "Maria Odette De Pauli", "non-dropping-particle" : "", "parse-names" : false, "suffix" : "" } ], "container-title" : "Ensaio: aval. pol. p\u00fabl. Educ.", "id" : "ITEM-1", "issue" : "n. 63", "issued" : { "date-parts" : [ [ "2009" ] ] }, "page" : "313-340", "title" : "Avalia\u00e7\u00e3o do aprendizado via educa\u00e7\u00e3o a dist\u00e2ncia : a vis\u00e3o dos discentes", "type" : "article-journal", "volume" : "v. 17" }, "uris" : [ "http://www.mendeley.com/documents/?uuid=7ee8cb1e-20c5-450e-a56f-fa911745e70b" ] } ], "mendeley" : { "formattedCitation" : "&lt;sup&gt;5&lt;/sup&gt;", "plainTextFormattedCitation" : "5", "previouslyFormattedCitation" : "&lt;sup&gt;5&lt;/sup&gt;"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CD04E2" w:rsidRPr="008B76DC">
        <w:rPr>
          <w:rFonts w:ascii="Arial" w:hAnsi="Arial" w:cs="Arial"/>
          <w:noProof/>
          <w:sz w:val="24"/>
          <w:szCs w:val="24"/>
          <w:vertAlign w:val="superscript"/>
          <w:lang w:val="en-US"/>
        </w:rPr>
        <w:t>5</w:t>
      </w:r>
      <w:r w:rsidR="00771EBF" w:rsidRPr="008B76DC">
        <w:rPr>
          <w:rFonts w:ascii="Arial" w:hAnsi="Arial" w:cs="Arial"/>
          <w:sz w:val="24"/>
          <w:szCs w:val="24"/>
          <w:lang w:val="en-US"/>
        </w:rPr>
        <w:fldChar w:fldCharType="end"/>
      </w:r>
    </w:p>
    <w:p w:rsidR="00056022" w:rsidRPr="008B76DC" w:rsidRDefault="00AC74D8"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Blended learning is a student-centered approach that integrates traditional learning face-to-face with a computer-mediated learning</w:t>
      </w:r>
      <w:r w:rsidR="00056022" w:rsidRPr="008B76DC">
        <w:rPr>
          <w:rFonts w:ascii="Arial" w:hAnsi="Arial" w:cs="Arial"/>
          <w:sz w:val="24"/>
          <w:szCs w:val="24"/>
          <w:lang w:val="en-US"/>
        </w:rPr>
        <w:t>.</w:t>
      </w:r>
      <w:r w:rsidR="00CD04E2"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7059DA" w:rsidRPr="008B76DC">
        <w:rPr>
          <w:rFonts w:ascii="Arial" w:hAnsi="Arial" w:cs="Arial"/>
          <w:sz w:val="24"/>
          <w:szCs w:val="24"/>
          <w:lang w:val="en-US"/>
        </w:rPr>
        <w:instrText>ADDIN CSL_CITATION { "citationItems" : [ { "id" : "ITEM-1", "itemData" : { "DOI" : "10.1016/j.iheduc.2004.02.001", "ISBN" : "1096-7516", "ISSN" : "10967516", "PMID" : "13434395", "abstract" : "The purpose of this paper is to provide a discussion of the transformative potential of blended learning in the context of the challenges facing higher education. Based upon a description of blended learning, its potential to support deep and meaningful learning is discussed. From here, a shift to the need to rethink and restructure the learning experience occurs and its transformative potential is analyzed. Finally, administrative and leadership issues are addressed and the outline of an action plan to implement blended learning approaches is presented. The conclusion is that blended learning is consistent with the values of traditional higher education institutions and has the proven potential to enhance both the effectiveness and efficiency of meaningful learning experiences. ?? 2004 Elsevier Inc. All rights reserved.", "author" : [ { "dropping-particle" : "", "family" : "Garrison", "given" : "D. Randy", "non-dropping-particle" : "", "parse-names" : false, "suffix" : "" }, { "dropping-particle" : "", "family" : "Kanuka", "given" : "Heather", "non-dropping-particle" : "", "parse-names" : false, "suffix" : "" } ], "container-title" : "Internet and Higher Education", "id" : "ITEM-1", "issue" : "2", "issued" : { "date-parts" : [ [ "2004" ] ] }, "page" : "95-105", "title" : "Blended learning: Uncovering its transformative potential in higher education", "type" : "article-journal", "volume" : "7" }, "uris" : [ "http://www.mendeley.com/documents/?uuid=8c6d820d-76d8-468a-8832-9bedd9b54c68" ] } ], "mendeley" : { "formattedCitation" : "&lt;sup&gt;6&lt;/sup&gt;", "plainTextFormattedCitation" : "6", "previouslyFormattedCitation" : "&lt;sup&gt;6&lt;/sup&gt;"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CD04E2" w:rsidRPr="008B76DC">
        <w:rPr>
          <w:rFonts w:ascii="Arial" w:hAnsi="Arial" w:cs="Arial"/>
          <w:noProof/>
          <w:sz w:val="24"/>
          <w:szCs w:val="24"/>
          <w:vertAlign w:val="superscript"/>
          <w:lang w:val="en-US"/>
        </w:rPr>
        <w:t>6</w:t>
      </w:r>
      <w:r w:rsidR="00771EBF" w:rsidRPr="008B76DC">
        <w:rPr>
          <w:rFonts w:ascii="Arial" w:hAnsi="Arial" w:cs="Arial"/>
          <w:sz w:val="24"/>
          <w:szCs w:val="24"/>
          <w:lang w:val="en-US"/>
        </w:rPr>
        <w:fldChar w:fldCharType="end"/>
      </w:r>
    </w:p>
    <w:p w:rsidR="00972C36" w:rsidRPr="008B76DC" w:rsidRDefault="00DE0F4E"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H</w:t>
      </w:r>
      <w:r w:rsidR="00040066" w:rsidRPr="008B76DC">
        <w:rPr>
          <w:rFonts w:ascii="Arial" w:hAnsi="Arial" w:cs="Arial"/>
          <w:sz w:val="24"/>
          <w:szCs w:val="24"/>
          <w:lang w:val="en-US"/>
        </w:rPr>
        <w:t xml:space="preserve">ybrid teaching is a mixture of classroom teaching with virtual teaching, making it possible to be done inside and outside the school. It is already consolidated as one of the most reputable trends for the education of </w:t>
      </w:r>
      <w:r w:rsidRPr="008B76DC">
        <w:rPr>
          <w:rFonts w:ascii="Arial" w:hAnsi="Arial" w:cs="Arial"/>
          <w:sz w:val="24"/>
          <w:szCs w:val="24"/>
          <w:lang w:val="en-US"/>
        </w:rPr>
        <w:t xml:space="preserve">the </w:t>
      </w:r>
      <w:r w:rsidR="00040066" w:rsidRPr="008B76DC">
        <w:rPr>
          <w:rFonts w:ascii="Arial" w:hAnsi="Arial" w:cs="Arial"/>
          <w:sz w:val="24"/>
          <w:szCs w:val="24"/>
          <w:lang w:val="en-US"/>
        </w:rPr>
        <w:t>21st century</w:t>
      </w:r>
      <w:r w:rsidR="00C17AE8" w:rsidRPr="008B76DC">
        <w:rPr>
          <w:rFonts w:ascii="Arial" w:hAnsi="Arial" w:cs="Arial"/>
          <w:sz w:val="24"/>
          <w:szCs w:val="24"/>
          <w:lang w:val="en-US"/>
        </w:rPr>
        <w:t xml:space="preserve">. </w:t>
      </w:r>
      <w:r w:rsidR="00A52E90" w:rsidRPr="008B76DC">
        <w:rPr>
          <w:rFonts w:ascii="Arial" w:hAnsi="Arial" w:cs="Arial"/>
          <w:sz w:val="24"/>
          <w:szCs w:val="24"/>
          <w:lang w:val="en-US"/>
        </w:rPr>
        <w:t>P</w:t>
      </w:r>
      <w:r w:rsidR="00D56331" w:rsidRPr="008B76DC">
        <w:rPr>
          <w:rFonts w:ascii="Arial" w:hAnsi="Arial" w:cs="Arial"/>
          <w:sz w:val="24"/>
          <w:szCs w:val="24"/>
          <w:lang w:val="en-US"/>
        </w:rPr>
        <w:t>ractices of blended learning have become widespread in educational networks around the world, providing students with a more interesting and efficient learnin</w:t>
      </w:r>
      <w:r w:rsidR="00A52E90" w:rsidRPr="008B76DC">
        <w:rPr>
          <w:rFonts w:ascii="Arial" w:hAnsi="Arial" w:cs="Arial"/>
          <w:sz w:val="24"/>
          <w:szCs w:val="24"/>
          <w:lang w:val="en-US"/>
        </w:rPr>
        <w:t>g, personalized to their needs. H</w:t>
      </w:r>
      <w:r w:rsidR="00D47DED" w:rsidRPr="008B76DC">
        <w:rPr>
          <w:rFonts w:ascii="Arial" w:hAnsi="Arial" w:cs="Arial"/>
          <w:sz w:val="24"/>
          <w:szCs w:val="24"/>
          <w:lang w:val="en-US"/>
        </w:rPr>
        <w:t>ybrid teaching and</w:t>
      </w:r>
      <w:r w:rsidR="00C43962" w:rsidRPr="008B76DC">
        <w:rPr>
          <w:rFonts w:ascii="Arial" w:hAnsi="Arial" w:cs="Arial"/>
          <w:sz w:val="24"/>
          <w:szCs w:val="24"/>
          <w:lang w:val="en-US"/>
        </w:rPr>
        <w:t xml:space="preserve"> learning based on competence - commonly practiced together-, form the foundation of a student-centered learning system. </w:t>
      </w:r>
      <w:r w:rsidR="00C43962" w:rsidRPr="008B76DC">
        <w:rPr>
          <w:rFonts w:ascii="Arial" w:hAnsi="Arial" w:cs="Arial"/>
          <w:sz w:val="24"/>
          <w:szCs w:val="24"/>
          <w:lang w:val="en-US"/>
        </w:rPr>
        <w:lastRenderedPageBreak/>
        <w:t xml:space="preserve">Students develop a sense of performance and prosperity for their progress and, consequently, the ability to conduct their own learning. This translates into the </w:t>
      </w:r>
      <w:r w:rsidR="00D47DED" w:rsidRPr="008B76DC">
        <w:rPr>
          <w:rFonts w:ascii="Arial" w:hAnsi="Arial" w:cs="Arial"/>
          <w:sz w:val="24"/>
          <w:szCs w:val="24"/>
          <w:lang w:val="en-US"/>
        </w:rPr>
        <w:t>capability</w:t>
      </w:r>
      <w:r w:rsidR="00C43962" w:rsidRPr="008B76DC">
        <w:rPr>
          <w:rFonts w:ascii="Arial" w:hAnsi="Arial" w:cs="Arial"/>
          <w:sz w:val="24"/>
          <w:szCs w:val="24"/>
          <w:lang w:val="en-US"/>
        </w:rPr>
        <w:t xml:space="preserve"> to become an eternal apprentice - a necessary characteristic in the r</w:t>
      </w:r>
      <w:r w:rsidR="00D47DED" w:rsidRPr="008B76DC">
        <w:rPr>
          <w:rFonts w:ascii="Arial" w:hAnsi="Arial" w:cs="Arial"/>
          <w:sz w:val="24"/>
          <w:szCs w:val="24"/>
          <w:lang w:val="en-US"/>
        </w:rPr>
        <w:t>apidly changing world we live</w:t>
      </w:r>
      <w:r w:rsidR="00C43962" w:rsidRPr="008B76DC">
        <w:rPr>
          <w:rFonts w:ascii="Arial" w:hAnsi="Arial" w:cs="Arial"/>
          <w:sz w:val="24"/>
          <w:szCs w:val="24"/>
          <w:lang w:val="en-US"/>
        </w:rPr>
        <w:t xml:space="preserve">, in which knowledge and skills become </w:t>
      </w:r>
      <w:r w:rsidR="007059DA" w:rsidRPr="008B76DC">
        <w:rPr>
          <w:rFonts w:ascii="Arial" w:hAnsi="Arial" w:cs="Arial"/>
          <w:sz w:val="24"/>
          <w:szCs w:val="24"/>
          <w:lang w:val="en-US"/>
        </w:rPr>
        <w:t>obsolete at an accelerated pace</w:t>
      </w:r>
      <w:r w:rsidR="006C0A12"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350298" w:rsidRPr="008B76DC">
        <w:rPr>
          <w:rFonts w:ascii="Arial" w:hAnsi="Arial" w:cs="Arial"/>
          <w:sz w:val="24"/>
          <w:szCs w:val="24"/>
          <w:lang w:val="en-US"/>
        </w:rPr>
        <w:instrText>ADDIN CSL_CITATION { "citationItems" : [ { "id" : "ITEM-1", "itemData" : { "author" : [ { "dropping-particle" : "", "family" : "HORN, M.B.; STAKER", "given" : "H", "non-dropping-particle" : "", "parse-names" : false, "suffix" : "" } ], "id" : "ITEM-1", "issued" : { "date-parts" : [ [ "2015" ] ] }, "publisher" : "Penso", "publisher-place" : "Porto Alegre", "title" : "Blended: usando a inova\u00e7\u00e3o disruptiva para aprimorar a educa\u00e7\u00e3o. Tradu\u00e7\u00e3o: Maria Cristina Gularte Monteiro", "type" : "book" }, "uris" : [ "http://www.mendeley.com/documents/?uuid=7b60bf8e-e0f8-47ac-9569-6d66bc910c0e" ] } ], "mendeley" : { "formattedCitation" : "&lt;sup&gt;7&lt;/sup&gt;", "plainTextFormattedCitation" : "7", "previouslyFormattedCitation" : "&lt;sup&gt;7&lt;/sup&gt;"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7059DA" w:rsidRPr="008B76DC">
        <w:rPr>
          <w:rFonts w:ascii="Arial" w:hAnsi="Arial" w:cs="Arial"/>
          <w:noProof/>
          <w:sz w:val="24"/>
          <w:szCs w:val="24"/>
          <w:vertAlign w:val="superscript"/>
          <w:lang w:val="en-US"/>
        </w:rPr>
        <w:t>7</w:t>
      </w:r>
      <w:r w:rsidR="00771EBF" w:rsidRPr="008B76DC">
        <w:rPr>
          <w:rFonts w:ascii="Arial" w:hAnsi="Arial" w:cs="Arial"/>
          <w:sz w:val="24"/>
          <w:szCs w:val="24"/>
          <w:lang w:val="en-US"/>
        </w:rPr>
        <w:fldChar w:fldCharType="end"/>
      </w:r>
    </w:p>
    <w:p w:rsidR="00B12C63" w:rsidRPr="008B76DC" w:rsidRDefault="00BF4DA7"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Pharmacists have recently been involved in a variety of patient care services, which requires appr</w:t>
      </w:r>
      <w:r w:rsidR="00D47DED" w:rsidRPr="008B76DC">
        <w:rPr>
          <w:rFonts w:ascii="Arial" w:hAnsi="Arial" w:cs="Arial"/>
          <w:sz w:val="24"/>
          <w:szCs w:val="24"/>
          <w:lang w:val="en-US"/>
        </w:rPr>
        <w:t xml:space="preserve">opriate training to develop </w:t>
      </w:r>
      <w:r w:rsidRPr="008B76DC">
        <w:rPr>
          <w:rFonts w:ascii="Arial" w:hAnsi="Arial" w:cs="Arial"/>
          <w:sz w:val="24"/>
          <w:szCs w:val="24"/>
          <w:lang w:val="en-US"/>
        </w:rPr>
        <w:t>competencies required</w:t>
      </w:r>
      <w:r w:rsidR="00D47DED" w:rsidRPr="008B76DC">
        <w:rPr>
          <w:rFonts w:ascii="Arial" w:hAnsi="Arial" w:cs="Arial"/>
          <w:sz w:val="24"/>
          <w:szCs w:val="24"/>
          <w:lang w:val="en-US"/>
        </w:rPr>
        <w:t xml:space="preserve"> for these practices. Thus, </w:t>
      </w:r>
      <w:r w:rsidRPr="008B76DC">
        <w:rPr>
          <w:rFonts w:ascii="Arial" w:hAnsi="Arial" w:cs="Arial"/>
          <w:sz w:val="24"/>
          <w:szCs w:val="24"/>
          <w:lang w:val="en-US"/>
        </w:rPr>
        <w:t>reorientation of pharmacy edu</w:t>
      </w:r>
      <w:r w:rsidR="00350298" w:rsidRPr="008B76DC">
        <w:rPr>
          <w:rFonts w:ascii="Arial" w:hAnsi="Arial" w:cs="Arial"/>
          <w:sz w:val="24"/>
          <w:szCs w:val="24"/>
          <w:lang w:val="en-US"/>
        </w:rPr>
        <w:t>cation has become indispensable</w:t>
      </w:r>
      <w:r w:rsidR="00B12C63"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350298" w:rsidRPr="008B76DC">
        <w:rPr>
          <w:rFonts w:ascii="Arial" w:hAnsi="Arial" w:cs="Arial"/>
          <w:sz w:val="24"/>
          <w:szCs w:val="24"/>
          <w:lang w:val="en-US"/>
        </w:rPr>
        <w:instrText>ADDIN CSL_CITATION { "citationItems" : [ { "id" : "ITEM-1", "itemData" : { "DOI" : "10.1371/journal.pone.0123141", "ISSN" : "19326203", "PMID" : "25969991", "abstract" : "BACKGROUND: In recent years, pharmacists have been involved in expanded patient care responsibilities, for example patient counseling in self-medication, medication review and pharmaceutical care, which require graduates to develop the necessary competences. Consequently, reorientation of pharmacy education has become necessary. As such, active learning strategies have been introduced into classrooms to increase problem-solving and critical thinking skills of students. The objective of this study was to evaluate the performance and perceptions of competency of students in a new pharmaceutical care course that uses active learning methodologies.\\n\\nMETHODS: This pharmaceutical care course was conducted in the first semester of 2014, in the Federal University of Sergipe. In the pharmaceutical care course, active learning methods were used, consisting of dialogic classroom expository, simulation and case studies. Student learning was evaluated using classroom tests and instruments that evaluated the perception of competency in pharmaceutical care practice. Furthermore, students' satisfaction with the course was evaluated.\\n\\nRESULTS: Thirty-three students completed the four evaluations used in the course (i.e., a discursive written exam, seminars, OSCE, and virtual patient); 25 were female (75.75%), and the median age was 23.43 (SD 2.82) years. The overall mean of student scores, in all evaluation methods was 7.97 (SD 0.59) on a scale of 0 to 10 points, and student performance on the virtual patient method was statistically superior to other methods. With respect to the perception of competency in pharmaceutical care practice, a comparison of pre- and post-test scores revealed statistically significant improvement for all evaluated competences. At the end of the semester, the students presented positive opinions of the pharmaceutical care course.\\n\\nCONCLUSIONS: The results suggest that an active learning course can enhance the learning of pharmaceutical care competences. In future studies it will be necessary to compare active learning to traditional methods.", "author" : [ { "dropping-particle" : "", "family" : "Mesquita", "given" : "Alessandra R.", "non-dropping-particle" : "", "parse-names" : false, "suffix" : "" }, { "dropping-particle" : "", "family" : "Souza", "given" : "Werlissandra M.", "non-dropping-particle" : "", "parse-names" : false, "suffix" : "" }, { "dropping-particle" : "", "family" : "Boaventura", "given" : "Thays C.", "non-dropping-particle" : "", "parse-names" : false, "suffix" : "" }, { "dropping-particle" : "", "family" : "Barros", "given" : "Izadora M C", "non-dropping-particle" : "", "parse-names" : false, "suffix" : "" }, { "dropping-particle" : "", "family" : "Antoniolli", "given" : "Angelo R.", "non-dropping-particle" : "", "parse-names" : false, "suffix" : "" }, { "dropping-particle" : "", "family" : "Silva", "given" : "Wellington B.", "non-dropping-particle" : "", "parse-names" : false, "suffix" : "" }, { "dropping-particle" : "", "family" : "Lyra", "given" : "Divaldo P.", "non-dropping-particle" : "", "parse-names" : false, "suffix" : "" } ], "container-title" : "PLoS ONE", "id" : "ITEM-1", "issue" : "5", "issued" : { "date-parts" : [ [ "2015" ] ] }, "page" : "1-16", "title" : "The effect of active learning methodologies on the teaching of pharmaceutical care in a Brazilian pharmacy faculty", "type" : "article-journal", "volume" : "10" }, "uris" : [ "http://www.mendeley.com/documents/?uuid=874ca294-cf1f-4505-ad67-96109591bc5c" ] } ], "mendeley" : { "formattedCitation" : "&lt;sup&gt;8&lt;/sup&gt;", "plainTextFormattedCitation" : "8", "previouslyFormattedCitation" : "&lt;sup&gt;8&lt;/sup&gt;"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350298" w:rsidRPr="008B76DC">
        <w:rPr>
          <w:rFonts w:ascii="Arial" w:hAnsi="Arial" w:cs="Arial"/>
          <w:noProof/>
          <w:sz w:val="24"/>
          <w:szCs w:val="24"/>
          <w:vertAlign w:val="superscript"/>
          <w:lang w:val="en-US"/>
        </w:rPr>
        <w:t>8</w:t>
      </w:r>
      <w:r w:rsidR="00771EBF" w:rsidRPr="008B76DC">
        <w:rPr>
          <w:rFonts w:ascii="Arial" w:hAnsi="Arial" w:cs="Arial"/>
          <w:sz w:val="24"/>
          <w:szCs w:val="24"/>
          <w:lang w:val="en-US"/>
        </w:rPr>
        <w:fldChar w:fldCharType="end"/>
      </w:r>
    </w:p>
    <w:p w:rsidR="009D7581" w:rsidRPr="008B76DC" w:rsidRDefault="00350298"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 xml:space="preserve">Bloom's Taxonomy </w:t>
      </w:r>
      <w:r w:rsidR="00771EBF" w:rsidRPr="008B76DC">
        <w:rPr>
          <w:rFonts w:ascii="Arial" w:hAnsi="Arial" w:cs="Arial"/>
          <w:sz w:val="24"/>
          <w:szCs w:val="24"/>
          <w:lang w:val="en-US"/>
        </w:rPr>
        <w:fldChar w:fldCharType="begin" w:fldLock="1"/>
      </w:r>
      <w:r w:rsidR="00FD17AB" w:rsidRPr="008B76DC">
        <w:rPr>
          <w:rFonts w:ascii="Arial" w:hAnsi="Arial" w:cs="Arial"/>
          <w:sz w:val="24"/>
          <w:szCs w:val="24"/>
          <w:lang w:val="en-US"/>
        </w:rPr>
        <w:instrText>ADDIN CSL_CITATION { "citationItems" : [ { "id" : "ITEM-1", "itemData" : { "author" : [ { "dropping-particle" : "", "family" : "BLOOM, B.S.", "given" : "et al.", "non-dropping-particle" : "", "parse-names" : false, "suffix" : "" } ], "id" : "ITEM-1", "issued" : { "date-parts" : [ [ "1956" ] ] }, "publisher" : "Longman", "publisher-place" : "New York", "title" : "Taxonomy of Educational Objectives: The classification of Educational Goals. Handbook I: Cognitive Domain", "type" : "book" }, "uris" : [ "http://www.mendeley.com/documents/?uuid=e5d657fb-8a5d-4cb0-934d-d3511c79f3b0" ] } ], "mendeley" : { "formattedCitation" : "&lt;sup&gt;9&lt;/sup&gt;", "plainTextFormattedCitation" : "9", "previouslyFormattedCitation" : "&lt;sup&gt;9&lt;/sup&gt;"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Pr="008B76DC">
        <w:rPr>
          <w:rFonts w:ascii="Arial" w:hAnsi="Arial" w:cs="Arial"/>
          <w:noProof/>
          <w:sz w:val="24"/>
          <w:szCs w:val="24"/>
          <w:vertAlign w:val="superscript"/>
          <w:lang w:val="en-US"/>
        </w:rPr>
        <w:t>9</w:t>
      </w:r>
      <w:r w:rsidR="00771EBF" w:rsidRPr="008B76DC">
        <w:rPr>
          <w:rFonts w:ascii="Arial" w:hAnsi="Arial" w:cs="Arial"/>
          <w:sz w:val="24"/>
          <w:szCs w:val="24"/>
          <w:lang w:val="en-US"/>
        </w:rPr>
        <w:fldChar w:fldCharType="end"/>
      </w:r>
      <w:r w:rsidRPr="008B76DC">
        <w:rPr>
          <w:rFonts w:ascii="Arial" w:hAnsi="Arial" w:cs="Arial"/>
          <w:sz w:val="24"/>
          <w:szCs w:val="24"/>
          <w:lang w:val="en-US"/>
        </w:rPr>
        <w:t xml:space="preserve"> </w:t>
      </w:r>
      <w:r w:rsidR="00630C77" w:rsidRPr="008B76DC">
        <w:rPr>
          <w:rFonts w:ascii="Arial" w:hAnsi="Arial" w:cs="Arial"/>
          <w:sz w:val="24"/>
          <w:szCs w:val="24"/>
          <w:lang w:val="en-US"/>
        </w:rPr>
        <w:t>is an instrument used to support the didactic pedagogic planning, as well as structuring, organizing, and setting learning objectives linked to cogniti</w:t>
      </w:r>
      <w:r w:rsidR="00D47DED" w:rsidRPr="008B76DC">
        <w:rPr>
          <w:rFonts w:ascii="Arial" w:hAnsi="Arial" w:cs="Arial"/>
          <w:sz w:val="24"/>
          <w:szCs w:val="24"/>
          <w:lang w:val="en-US"/>
        </w:rPr>
        <w:t>ve development that includes</w:t>
      </w:r>
      <w:r w:rsidR="00630C77" w:rsidRPr="008B76DC">
        <w:rPr>
          <w:rFonts w:ascii="Arial" w:hAnsi="Arial" w:cs="Arial"/>
          <w:sz w:val="24"/>
          <w:szCs w:val="24"/>
          <w:lang w:val="en-US"/>
        </w:rPr>
        <w:t xml:space="preserve"> acquisition of knowledge, skills and </w:t>
      </w:r>
      <w:r w:rsidR="00D47DED" w:rsidRPr="008B76DC">
        <w:rPr>
          <w:rFonts w:ascii="Arial" w:hAnsi="Arial" w:cs="Arial"/>
          <w:sz w:val="24"/>
          <w:szCs w:val="24"/>
          <w:lang w:val="en-US"/>
        </w:rPr>
        <w:t>actions</w:t>
      </w:r>
      <w:r w:rsidR="00630C77" w:rsidRPr="008B76DC">
        <w:rPr>
          <w:rFonts w:ascii="Arial" w:hAnsi="Arial" w:cs="Arial"/>
          <w:sz w:val="24"/>
          <w:szCs w:val="24"/>
          <w:lang w:val="en-US"/>
        </w:rPr>
        <w:t>, promoting the facilitation of planning an effective and end</w:t>
      </w:r>
      <w:r w:rsidR="00FD17AB" w:rsidRPr="008B76DC">
        <w:rPr>
          <w:rFonts w:ascii="Arial" w:hAnsi="Arial" w:cs="Arial"/>
          <w:sz w:val="24"/>
          <w:szCs w:val="24"/>
          <w:lang w:val="en-US"/>
        </w:rPr>
        <w:t>uring teaching-learning process</w:t>
      </w:r>
      <w:r w:rsidR="009D7581" w:rsidRPr="008B76DC">
        <w:rPr>
          <w:rFonts w:ascii="Arial" w:hAnsi="Arial" w:cs="Arial"/>
          <w:sz w:val="24"/>
          <w:szCs w:val="24"/>
          <w:lang w:val="en-US"/>
        </w:rPr>
        <w:t>.</w:t>
      </w:r>
      <w:r w:rsidR="00FD17AB"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BD5E10" w:rsidRPr="008B76DC">
        <w:rPr>
          <w:rFonts w:ascii="Arial" w:hAnsi="Arial" w:cs="Arial"/>
          <w:sz w:val="24"/>
          <w:szCs w:val="24"/>
          <w:lang w:val="en-US"/>
        </w:rPr>
        <w:instrText>ADDIN CSL_CITATION { "citationItems" : [ { "id" : "ITEM-1", "itemData" : { "author" : [ { "dropping-particle" : "", "family" : "Belhot", "given" : "Renato Vairo", "non-dropping-particle" : "", "parse-names" : false, "suffix" : "" } ], "id" : "ITEM-1", "issued" : { "date-parts" : [ [ "2010" ] ] }, "page" : "421-431", "title" : "Taxonomia de Bloom : revis\u00e3o te\u00f3rica e apresenta\u00e7\u00e3o das adequa\u00e7\u00f5es do instrumento para defini\u00e7\u00e3o de objetivos instrucionais", "type" : "article-journal" }, "uris" : [ "http://www.mendeley.com/documents/?uuid=3d53da41-4fa6-412d-84d8-227c50b7e139" ] } ], "mendeley" : { "formattedCitation" : "&lt;sup&gt;10&lt;/sup&gt;", "plainTextFormattedCitation" : "10", "previouslyFormattedCitation" : "&lt;sup&gt;10&lt;/sup&gt;"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FD17AB" w:rsidRPr="008B76DC">
        <w:rPr>
          <w:rFonts w:ascii="Arial" w:hAnsi="Arial" w:cs="Arial"/>
          <w:noProof/>
          <w:sz w:val="24"/>
          <w:szCs w:val="24"/>
          <w:vertAlign w:val="superscript"/>
          <w:lang w:val="en-US"/>
        </w:rPr>
        <w:t>10</w:t>
      </w:r>
      <w:r w:rsidR="00771EBF" w:rsidRPr="008B76DC">
        <w:rPr>
          <w:rFonts w:ascii="Arial" w:hAnsi="Arial" w:cs="Arial"/>
          <w:sz w:val="24"/>
          <w:szCs w:val="24"/>
          <w:lang w:val="en-US"/>
        </w:rPr>
        <w:fldChar w:fldCharType="end"/>
      </w:r>
    </w:p>
    <w:p w:rsidR="00500E97" w:rsidRPr="008B76DC" w:rsidRDefault="002F4916" w:rsidP="00EF107E">
      <w:pPr>
        <w:spacing w:after="0" w:line="480" w:lineRule="auto"/>
        <w:ind w:firstLine="708"/>
        <w:rPr>
          <w:rFonts w:ascii="Arial" w:hAnsi="Arial" w:cs="Arial"/>
          <w:sz w:val="24"/>
          <w:szCs w:val="24"/>
          <w:lang w:val="en-US"/>
        </w:rPr>
      </w:pPr>
      <w:r w:rsidRPr="008B76DC">
        <w:rPr>
          <w:rFonts w:ascii="Arial" w:hAnsi="Arial" w:cs="Arial"/>
          <w:sz w:val="24"/>
          <w:szCs w:val="24"/>
          <w:lang w:val="en-US"/>
        </w:rPr>
        <w:t xml:space="preserve">According to </w:t>
      </w:r>
      <w:r w:rsidR="00CA373A" w:rsidRPr="008B76DC">
        <w:rPr>
          <w:rFonts w:ascii="Arial" w:hAnsi="Arial" w:cs="Arial"/>
          <w:sz w:val="24"/>
          <w:szCs w:val="24"/>
          <w:lang w:val="en-US"/>
        </w:rPr>
        <w:t>Bloom and colleagues</w:t>
      </w:r>
      <w:r w:rsidR="00771EBF" w:rsidRPr="008B76DC">
        <w:rPr>
          <w:rFonts w:ascii="Arial" w:hAnsi="Arial" w:cs="Arial"/>
          <w:sz w:val="24"/>
          <w:szCs w:val="24"/>
          <w:lang w:val="en-US"/>
        </w:rPr>
        <w:fldChar w:fldCharType="begin" w:fldLock="1"/>
      </w:r>
      <w:r w:rsidR="0018784B" w:rsidRPr="008B76DC">
        <w:rPr>
          <w:rFonts w:ascii="Arial" w:hAnsi="Arial" w:cs="Arial"/>
          <w:sz w:val="24"/>
          <w:szCs w:val="24"/>
          <w:lang w:val="en-US"/>
        </w:rPr>
        <w:instrText>ADDIN CSL_CITATION { "citationItems" : [ { "id" : "ITEM-1", "itemData" : { "author" : [ { "dropping-particle" : "", "family" : "BLOOM, B.S.", "given" : "et al.", "non-dropping-particle" : "", "parse-names" : false, "suffix" : "" } ], "id" : "ITEM-1", "issued" : { "date-parts" : [ [ "1956" ] ] }, "publisher" : "Longman", "publisher-place" : "New York", "title" : "Taxonomy of Educational Objectives: The classification of Educational Goals. Handbook I: Cognitive Domain", "type" : "book" }, "uris" : [ "http://www.mendeley.com/documents/?uuid=e5d657fb-8a5d-4cb0-934d-d3511c79f3b0" ] } ], "mendeley" : { "formattedCitation" : "&lt;sup&gt;9&lt;/sup&gt;", "plainTextFormattedCitation" : "9", "previouslyFormattedCitation" : "&lt;sup&gt;9&lt;/sup&gt;"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BD5E10" w:rsidRPr="008B76DC">
        <w:rPr>
          <w:rFonts w:ascii="Arial" w:hAnsi="Arial" w:cs="Arial"/>
          <w:noProof/>
          <w:sz w:val="24"/>
          <w:szCs w:val="24"/>
          <w:vertAlign w:val="superscript"/>
          <w:lang w:val="en-US"/>
        </w:rPr>
        <w:t>9</w:t>
      </w:r>
      <w:r w:rsidR="00771EBF" w:rsidRPr="008B76DC">
        <w:rPr>
          <w:rFonts w:ascii="Arial" w:hAnsi="Arial" w:cs="Arial"/>
          <w:sz w:val="24"/>
          <w:szCs w:val="24"/>
          <w:lang w:val="en-US"/>
        </w:rPr>
        <w:fldChar w:fldCharType="end"/>
      </w:r>
      <w:r w:rsidR="005D3A6E" w:rsidRPr="008B76DC">
        <w:rPr>
          <w:rFonts w:ascii="Arial" w:hAnsi="Arial" w:cs="Arial"/>
          <w:sz w:val="24"/>
          <w:szCs w:val="24"/>
          <w:lang w:val="en-US"/>
        </w:rPr>
        <w:t>,</w:t>
      </w:r>
      <w:r w:rsidRPr="008B76DC">
        <w:rPr>
          <w:rFonts w:ascii="Arial" w:hAnsi="Arial" w:cs="Arial"/>
          <w:sz w:val="24"/>
          <w:szCs w:val="24"/>
          <w:lang w:val="en-US"/>
        </w:rPr>
        <w:t xml:space="preserve"> learning objectives are distributed in three domains: cognitive, affective and psychomotor.</w:t>
      </w:r>
      <w:r w:rsidR="009D7581" w:rsidRPr="008B76DC">
        <w:rPr>
          <w:rFonts w:ascii="Arial" w:hAnsi="Arial" w:cs="Arial"/>
          <w:sz w:val="24"/>
          <w:szCs w:val="24"/>
          <w:lang w:val="en-US"/>
        </w:rPr>
        <w:t xml:space="preserve"> </w:t>
      </w:r>
      <w:r w:rsidR="00760DA7" w:rsidRPr="008B76DC">
        <w:rPr>
          <w:rFonts w:ascii="Arial" w:hAnsi="Arial" w:cs="Arial"/>
          <w:sz w:val="24"/>
          <w:szCs w:val="24"/>
          <w:lang w:val="en-US"/>
        </w:rPr>
        <w:t>The cognitive domain is related to learning and mast</w:t>
      </w:r>
      <w:r w:rsidR="005D3A6E" w:rsidRPr="008B76DC">
        <w:rPr>
          <w:rFonts w:ascii="Arial" w:hAnsi="Arial" w:cs="Arial"/>
          <w:sz w:val="24"/>
          <w:szCs w:val="24"/>
          <w:lang w:val="en-US"/>
        </w:rPr>
        <w:t>ering knowledge. It involves</w:t>
      </w:r>
      <w:r w:rsidR="00760DA7" w:rsidRPr="008B76DC">
        <w:rPr>
          <w:rFonts w:ascii="Arial" w:hAnsi="Arial" w:cs="Arial"/>
          <w:sz w:val="24"/>
          <w:szCs w:val="24"/>
          <w:lang w:val="en-US"/>
        </w:rPr>
        <w:t xml:space="preserve"> acquisition of new knowledge, skills, an</w:t>
      </w:r>
      <w:r w:rsidR="005D3A6E" w:rsidRPr="008B76DC">
        <w:rPr>
          <w:rFonts w:ascii="Arial" w:hAnsi="Arial" w:cs="Arial"/>
          <w:sz w:val="24"/>
          <w:szCs w:val="24"/>
          <w:lang w:val="en-US"/>
        </w:rPr>
        <w:t>d attitudes. In this domain,</w:t>
      </w:r>
      <w:r w:rsidR="00760DA7" w:rsidRPr="008B76DC">
        <w:rPr>
          <w:rFonts w:ascii="Arial" w:hAnsi="Arial" w:cs="Arial"/>
          <w:sz w:val="24"/>
          <w:szCs w:val="24"/>
          <w:lang w:val="en-US"/>
        </w:rPr>
        <w:t xml:space="preserve"> objectives were grouped into six categories and are presented in a hierarchy of complexity and dependence (categories), from the simplest to the most complex. In order to be lifted up to a new category, it is necessary to acquire an appropriate performance in the previous one, because each category uses skills gained in previous levels.</w:t>
      </w:r>
      <w:r w:rsidR="009D7581" w:rsidRPr="008B76DC">
        <w:rPr>
          <w:rFonts w:ascii="Arial" w:hAnsi="Arial" w:cs="Arial"/>
          <w:sz w:val="24"/>
          <w:szCs w:val="24"/>
          <w:lang w:val="en-US"/>
        </w:rPr>
        <w:t xml:space="preserve"> </w:t>
      </w:r>
      <w:r w:rsidR="0072629C" w:rsidRPr="008B76DC">
        <w:rPr>
          <w:rFonts w:ascii="Arial" w:hAnsi="Arial" w:cs="Arial"/>
          <w:sz w:val="24"/>
          <w:szCs w:val="24"/>
          <w:lang w:val="en-US"/>
        </w:rPr>
        <w:t>Thus, a</w:t>
      </w:r>
      <w:r w:rsidR="00500E97" w:rsidRPr="008B76DC">
        <w:rPr>
          <w:rFonts w:ascii="Arial" w:hAnsi="Arial" w:cs="Arial"/>
          <w:sz w:val="24"/>
          <w:szCs w:val="24"/>
          <w:lang w:val="en-US"/>
        </w:rPr>
        <w:t xml:space="preserve"> cumu</w:t>
      </w:r>
      <w:r w:rsidR="0072629C" w:rsidRPr="008B76DC">
        <w:rPr>
          <w:rFonts w:ascii="Arial" w:hAnsi="Arial" w:cs="Arial"/>
          <w:sz w:val="24"/>
          <w:szCs w:val="24"/>
          <w:lang w:val="en-US"/>
        </w:rPr>
        <w:t>lative hierarchy is represented -</w:t>
      </w:r>
      <w:r w:rsidR="00500E97" w:rsidRPr="008B76DC">
        <w:rPr>
          <w:rFonts w:ascii="Arial" w:hAnsi="Arial" w:cs="Arial"/>
          <w:sz w:val="24"/>
          <w:szCs w:val="24"/>
          <w:lang w:val="en-US"/>
        </w:rPr>
        <w:t xml:space="preserve"> in other words, the domain of each simpler category is prerequisite for more complex ones.</w:t>
      </w:r>
      <w:r w:rsidR="00EF107E">
        <w:rPr>
          <w:rFonts w:ascii="Arial" w:hAnsi="Arial" w:cs="Arial"/>
          <w:sz w:val="24"/>
          <w:szCs w:val="24"/>
          <w:lang w:val="en-US"/>
        </w:rPr>
        <w:t xml:space="preserve"> </w:t>
      </w:r>
      <w:r w:rsidR="00EF107E" w:rsidRPr="00EF107E">
        <w:rPr>
          <w:rFonts w:ascii="Arial" w:hAnsi="Arial" w:cs="Arial"/>
          <w:sz w:val="24"/>
          <w:szCs w:val="24"/>
          <w:lang w:val="en-US"/>
        </w:rPr>
        <w:t>The affective domain: related to feelings and attitudes. It involves categories linked to the development of emotional and affective area, including behavior, attitude, responsibility, respect, emotion and values.</w:t>
      </w:r>
      <w:r w:rsidR="00EF107E">
        <w:rPr>
          <w:rFonts w:ascii="Arial" w:hAnsi="Arial" w:cs="Arial"/>
          <w:sz w:val="24"/>
          <w:szCs w:val="24"/>
          <w:lang w:val="en-US"/>
        </w:rPr>
        <w:t xml:space="preserve"> </w:t>
      </w:r>
      <w:r w:rsidR="00EF107E" w:rsidRPr="00EF107E">
        <w:rPr>
          <w:rFonts w:ascii="Arial" w:hAnsi="Arial" w:cs="Arial"/>
          <w:sz w:val="24"/>
          <w:szCs w:val="24"/>
          <w:lang w:val="en-US"/>
        </w:rPr>
        <w:t xml:space="preserve">The </w:t>
      </w:r>
      <w:r w:rsidR="00EF107E" w:rsidRPr="00EF107E">
        <w:rPr>
          <w:rFonts w:ascii="Arial" w:hAnsi="Arial" w:cs="Arial"/>
          <w:sz w:val="24"/>
          <w:szCs w:val="24"/>
          <w:lang w:val="en-US"/>
        </w:rPr>
        <w:lastRenderedPageBreak/>
        <w:t>psychomotor domain: related to specific physical skills. The categories of this area are: Imitation; Manipulation; Articulation; And Naturalization.</w:t>
      </w:r>
    </w:p>
    <w:p w:rsidR="009D7581" w:rsidRPr="008B76DC" w:rsidRDefault="0090159F"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In this sense, the suggested taxonomy is not solely a scheme for classification, but a probability of hierarchical organization of cognitive processes in accordance with levels of complexity and objectives of the desired and delineated cognitive development.</w:t>
      </w:r>
      <w:r w:rsidR="009D7581" w:rsidRPr="008B76DC">
        <w:rPr>
          <w:rFonts w:ascii="Arial" w:hAnsi="Arial" w:cs="Arial"/>
          <w:sz w:val="24"/>
          <w:szCs w:val="24"/>
          <w:lang w:val="en-US"/>
        </w:rPr>
        <w:t xml:space="preserve"> </w:t>
      </w:r>
      <w:r w:rsidR="00D75233" w:rsidRPr="008B76DC">
        <w:rPr>
          <w:rFonts w:ascii="Arial" w:hAnsi="Arial" w:cs="Arial"/>
          <w:sz w:val="24"/>
          <w:szCs w:val="24"/>
          <w:lang w:val="en-US"/>
        </w:rPr>
        <w:t>C</w:t>
      </w:r>
      <w:r w:rsidR="00E368A0" w:rsidRPr="008B76DC">
        <w:rPr>
          <w:rFonts w:ascii="Arial" w:hAnsi="Arial" w:cs="Arial"/>
          <w:sz w:val="24"/>
          <w:szCs w:val="24"/>
          <w:lang w:val="en-US"/>
        </w:rPr>
        <w:t>ategories of this domain are: knowledge, comprehension, application, ana</w:t>
      </w:r>
      <w:r w:rsidR="0018784B" w:rsidRPr="008B76DC">
        <w:rPr>
          <w:rFonts w:ascii="Arial" w:hAnsi="Arial" w:cs="Arial"/>
          <w:sz w:val="24"/>
          <w:szCs w:val="24"/>
          <w:lang w:val="en-US"/>
        </w:rPr>
        <w:t>lysis, synthesis and evaluation</w:t>
      </w:r>
      <w:r w:rsidR="009D7581"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18784B" w:rsidRPr="008B76DC">
        <w:rPr>
          <w:rFonts w:ascii="Arial" w:hAnsi="Arial" w:cs="Arial"/>
          <w:sz w:val="24"/>
          <w:szCs w:val="24"/>
          <w:lang w:val="en-US"/>
        </w:rPr>
        <w:instrText>ADDIN CSL_CITATION { "citationItems" : [ { "id" : "ITEM-1", "itemData" : { "author" : [ { "dropping-particle" : "", "family" : "Belhot", "given" : "Renato Vairo", "non-dropping-particle" : "", "parse-names" : false, "suffix" : "" } ], "id" : "ITEM-1", "issued" : { "date-parts" : [ [ "2010" ] ] }, "page" : "421-431", "title" : "Taxonomia de Bloom : revis\u00e3o te\u00f3rica e apresenta\u00e7\u00e3o das adequa\u00e7\u00f5es do instrumento para defini\u00e7\u00e3o de objetivos instrucionais", "type" : "article-journal" }, "uris" : [ "http://www.mendeley.com/documents/?uuid=3d53da41-4fa6-412d-84d8-227c50b7e139" ] } ], "mendeley" : { "formattedCitation" : "&lt;sup&gt;10&lt;/sup&gt;", "plainTextFormattedCitation" : "10", "previouslyFormattedCitation" : "&lt;sup&gt;10&lt;/sup&gt;"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18784B" w:rsidRPr="008B76DC">
        <w:rPr>
          <w:rFonts w:ascii="Arial" w:hAnsi="Arial" w:cs="Arial"/>
          <w:noProof/>
          <w:sz w:val="24"/>
          <w:szCs w:val="24"/>
          <w:vertAlign w:val="superscript"/>
          <w:lang w:val="en-US"/>
        </w:rPr>
        <w:t>10</w:t>
      </w:r>
      <w:r w:rsidR="00771EBF" w:rsidRPr="008B76DC">
        <w:rPr>
          <w:rFonts w:ascii="Arial" w:hAnsi="Arial" w:cs="Arial"/>
          <w:sz w:val="24"/>
          <w:szCs w:val="24"/>
          <w:lang w:val="en-US"/>
        </w:rPr>
        <w:fldChar w:fldCharType="end"/>
      </w:r>
      <w:r w:rsidR="0018784B"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9716A9" w:rsidRPr="008B76DC">
        <w:rPr>
          <w:rFonts w:ascii="Arial" w:hAnsi="Arial" w:cs="Arial"/>
          <w:sz w:val="24"/>
          <w:szCs w:val="24"/>
          <w:lang w:val="en-US"/>
        </w:rPr>
        <w:instrText>ADDIN CSL_CITATION { "citationItems" : [ { "id" : "ITEM-1", "itemData" : { "author" : [ { "dropping-particle" : "", "family" : "GIL", "given" : "AC", "non-dropping-particle" : "", "parse-names" : false, "suffix" : "" } ], "edition" : "1.", "id" : "ITEM-1", "issued" : { "date-parts" : [ [ "2011" ] ] }, "publisher" : "Atlas", "publisher-place" : "S\u00e3o Paulo", "title" : "Did\u00e1tica do ensino superior.", "type" : "book" }, "uris" : [ "http://www.mendeley.com/documents/?uuid=a4271644-8366-46f6-8de2-c98edaf7524e" ] } ], "mendeley" : { "formattedCitation" : "&lt;sup&gt;11&lt;/sup&gt;", "plainTextFormattedCitation" : "11", "previouslyFormattedCitation" : "&lt;sup&gt;11&lt;/sup&gt;"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18784B" w:rsidRPr="008B76DC">
        <w:rPr>
          <w:rFonts w:ascii="Arial" w:hAnsi="Arial" w:cs="Arial"/>
          <w:noProof/>
          <w:sz w:val="24"/>
          <w:szCs w:val="24"/>
          <w:vertAlign w:val="superscript"/>
          <w:lang w:val="en-US"/>
        </w:rPr>
        <w:t>11</w:t>
      </w:r>
      <w:r w:rsidR="00771EBF" w:rsidRPr="008B76DC">
        <w:rPr>
          <w:rFonts w:ascii="Arial" w:hAnsi="Arial" w:cs="Arial"/>
          <w:sz w:val="24"/>
          <w:szCs w:val="24"/>
          <w:lang w:val="en-US"/>
        </w:rPr>
        <w:fldChar w:fldCharType="end"/>
      </w:r>
      <w:r w:rsidR="009D7581" w:rsidRPr="008B76DC">
        <w:rPr>
          <w:rFonts w:ascii="Arial" w:hAnsi="Arial" w:cs="Arial"/>
          <w:sz w:val="24"/>
          <w:szCs w:val="24"/>
          <w:lang w:val="en-US"/>
        </w:rPr>
        <w:t xml:space="preserve"> </w:t>
      </w:r>
      <w:r w:rsidR="0018784B" w:rsidRPr="008B76DC">
        <w:rPr>
          <w:rFonts w:ascii="Arial" w:hAnsi="Arial" w:cs="Arial"/>
          <w:sz w:val="24"/>
          <w:szCs w:val="24"/>
          <w:lang w:val="en-US"/>
        </w:rPr>
        <w:t xml:space="preserve"> </w:t>
      </w:r>
      <w:r w:rsidR="006F329C" w:rsidRPr="008B76DC">
        <w:rPr>
          <w:rFonts w:ascii="Arial" w:hAnsi="Arial" w:cs="Arial"/>
          <w:sz w:val="24"/>
          <w:szCs w:val="24"/>
          <w:lang w:val="en-US"/>
        </w:rPr>
        <w:t xml:space="preserve">In the Anderson and </w:t>
      </w:r>
      <w:proofErr w:type="spellStart"/>
      <w:r w:rsidR="006F329C" w:rsidRPr="008B76DC">
        <w:rPr>
          <w:rFonts w:ascii="Arial" w:hAnsi="Arial" w:cs="Arial"/>
          <w:sz w:val="24"/>
          <w:szCs w:val="24"/>
          <w:lang w:val="en-US"/>
        </w:rPr>
        <w:t>Krathwohl</w:t>
      </w:r>
      <w:proofErr w:type="spellEnd"/>
      <w:r w:rsidR="006F329C" w:rsidRPr="008B76DC">
        <w:rPr>
          <w:rFonts w:ascii="Arial" w:hAnsi="Arial" w:cs="Arial"/>
          <w:sz w:val="24"/>
          <w:szCs w:val="24"/>
          <w:lang w:val="en-US"/>
        </w:rPr>
        <w:t xml:space="preserve"> –</w:t>
      </w:r>
      <w:r w:rsidR="0097427D" w:rsidRPr="008B76DC">
        <w:rPr>
          <w:rFonts w:ascii="Arial" w:hAnsi="Arial" w:cs="Arial"/>
          <w:sz w:val="24"/>
          <w:szCs w:val="24"/>
          <w:lang w:val="en-US"/>
        </w:rPr>
        <w:t xml:space="preserve"> Bloom’s Taxonomy Revised</w:t>
      </w:r>
      <w:r w:rsidR="00FA1791"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5247EF" w:rsidRPr="008B76DC">
        <w:rPr>
          <w:rFonts w:ascii="Arial" w:hAnsi="Arial" w:cs="Arial"/>
          <w:sz w:val="24"/>
          <w:szCs w:val="24"/>
          <w:lang w:val="en-US"/>
        </w:rPr>
        <w:instrText>ADDIN CSL_CITATION { "citationItems" : [ { "id" : "ITEM-1", "itemData" : { "author" : [ { "dropping-particle" : "", "family" : "ANDERSON, L.W.; KRATHWOHL", "given" : "David R.", "non-dropping-particle" : "", "parse-names" : false, "suffix" : "" } ], "id" : "ITEM-1", "issued" : { "date-parts" : [ [ "2001" ] ] }, "publisher" : "Addison Wesley Longman", "publisher-place" : "New York", "title" : "A taxonomy for learning, teaching and assessing: a revision of Bloom\u2019s Taxonomy of Educational Objectives", "type" : "book" }, "uris" : [ "http://www.mendeley.com/documents/?uuid=00673ddb-146a-43c6-b7cc-6fd89549a196" ] } ], "mendeley" : { "formattedCitation" : "&lt;sup&gt;12&lt;/sup&gt;", "plainTextFormattedCitation" : "12", "previouslyFormattedCitation" : "&lt;sup&gt;12&lt;/sup&gt;"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FA1791" w:rsidRPr="008B76DC">
        <w:rPr>
          <w:rFonts w:ascii="Arial" w:hAnsi="Arial" w:cs="Arial"/>
          <w:noProof/>
          <w:sz w:val="24"/>
          <w:szCs w:val="24"/>
          <w:vertAlign w:val="superscript"/>
          <w:lang w:val="en-US"/>
        </w:rPr>
        <w:t>12</w:t>
      </w:r>
      <w:r w:rsidR="00771EBF" w:rsidRPr="008B76DC">
        <w:rPr>
          <w:rFonts w:ascii="Arial" w:hAnsi="Arial" w:cs="Arial"/>
          <w:sz w:val="24"/>
          <w:szCs w:val="24"/>
          <w:lang w:val="en-US"/>
        </w:rPr>
        <w:fldChar w:fldCharType="end"/>
      </w:r>
      <w:r w:rsidR="006F329C" w:rsidRPr="008B76DC">
        <w:rPr>
          <w:rFonts w:ascii="Arial" w:hAnsi="Arial" w:cs="Arial"/>
          <w:sz w:val="24"/>
          <w:szCs w:val="24"/>
          <w:lang w:val="en-US"/>
        </w:rPr>
        <w:t>, verbal aspects used in the "knowledge" category were kept, but it was renamed to "remembering"; "comprehension" was renamed to "understanding"; and "application", "analysis", "synthesis" and "evaluation", were renamed respectively to "applying", "analyzing", "evaluating", and "creating" to better express the desired ac</w:t>
      </w:r>
      <w:r w:rsidR="00D75233" w:rsidRPr="008B76DC">
        <w:rPr>
          <w:rFonts w:ascii="Arial" w:hAnsi="Arial" w:cs="Arial"/>
          <w:sz w:val="24"/>
          <w:szCs w:val="24"/>
          <w:lang w:val="en-US"/>
        </w:rPr>
        <w:t xml:space="preserve">tion and be in harmony with </w:t>
      </w:r>
      <w:r w:rsidR="006F329C" w:rsidRPr="008B76DC">
        <w:rPr>
          <w:rFonts w:ascii="Arial" w:hAnsi="Arial" w:cs="Arial"/>
          <w:sz w:val="24"/>
          <w:szCs w:val="24"/>
          <w:lang w:val="en-US"/>
        </w:rPr>
        <w:t>expected result</w:t>
      </w:r>
      <w:r w:rsidR="00D75233" w:rsidRPr="008B76DC">
        <w:rPr>
          <w:rFonts w:ascii="Arial" w:hAnsi="Arial" w:cs="Arial"/>
          <w:sz w:val="24"/>
          <w:szCs w:val="24"/>
          <w:lang w:val="en-US"/>
        </w:rPr>
        <w:t>s</w:t>
      </w:r>
      <w:r w:rsidR="006F329C" w:rsidRPr="008B76DC">
        <w:rPr>
          <w:rFonts w:ascii="Arial" w:hAnsi="Arial" w:cs="Arial"/>
          <w:sz w:val="24"/>
          <w:szCs w:val="24"/>
          <w:lang w:val="en-US"/>
        </w:rPr>
        <w:t>.</w:t>
      </w:r>
      <w:r w:rsidR="00D86AF2" w:rsidRPr="008B76DC">
        <w:rPr>
          <w:rFonts w:ascii="Arial" w:hAnsi="Arial" w:cs="Arial"/>
          <w:sz w:val="24"/>
          <w:szCs w:val="24"/>
          <w:lang w:val="en-US"/>
        </w:rPr>
        <w:t xml:space="preserve"> </w:t>
      </w:r>
      <w:r w:rsidR="00D36975" w:rsidRPr="008B76DC">
        <w:rPr>
          <w:rFonts w:ascii="Arial" w:hAnsi="Arial" w:cs="Arial"/>
          <w:sz w:val="24"/>
          <w:szCs w:val="24"/>
          <w:lang w:val="en-US"/>
        </w:rPr>
        <w:t>The position of the categories "evaluation" and "synthesis" ("creating" and "evaluating", respectively) have changed (F</w:t>
      </w:r>
      <w:r w:rsidR="00287320" w:rsidRPr="008B76DC">
        <w:rPr>
          <w:rFonts w:ascii="Arial" w:hAnsi="Arial" w:cs="Arial"/>
          <w:sz w:val="24"/>
          <w:szCs w:val="24"/>
          <w:lang w:val="en-US"/>
        </w:rPr>
        <w:t>IGURE</w:t>
      </w:r>
      <w:r w:rsidR="00D36975" w:rsidRPr="008B76DC">
        <w:rPr>
          <w:rFonts w:ascii="Arial" w:hAnsi="Arial" w:cs="Arial"/>
          <w:sz w:val="24"/>
          <w:szCs w:val="24"/>
          <w:lang w:val="en-US"/>
        </w:rPr>
        <w:t xml:space="preserve"> 1).</w:t>
      </w:r>
    </w:p>
    <w:p w:rsidR="00F9684D" w:rsidRPr="008B76DC" w:rsidRDefault="00A2667E" w:rsidP="00F9684D">
      <w:pPr>
        <w:spacing w:after="0" w:line="480" w:lineRule="auto"/>
        <w:ind w:firstLine="708"/>
        <w:rPr>
          <w:rFonts w:ascii="Arial" w:hAnsi="Arial" w:cs="Arial"/>
          <w:sz w:val="24"/>
          <w:szCs w:val="24"/>
          <w:lang w:val="en-US"/>
        </w:rPr>
      </w:pPr>
      <w:r w:rsidRPr="008B76DC">
        <w:rPr>
          <w:rFonts w:ascii="Arial" w:hAnsi="Arial" w:cs="Arial"/>
          <w:sz w:val="24"/>
          <w:szCs w:val="24"/>
          <w:lang w:val="en-US"/>
        </w:rPr>
        <w:t xml:space="preserve">How then can we use this table? </w:t>
      </w:r>
      <w:r w:rsidR="00D75233" w:rsidRPr="008B76DC">
        <w:rPr>
          <w:rFonts w:ascii="Arial" w:hAnsi="Arial" w:cs="Arial"/>
          <w:sz w:val="24"/>
          <w:szCs w:val="24"/>
          <w:lang w:val="en-US"/>
        </w:rPr>
        <w:t>A</w:t>
      </w:r>
      <w:r w:rsidR="00F735B0" w:rsidRPr="008B76DC">
        <w:rPr>
          <w:rFonts w:ascii="Arial" w:hAnsi="Arial" w:cs="Arial"/>
          <w:sz w:val="24"/>
          <w:szCs w:val="24"/>
          <w:lang w:val="en-US"/>
        </w:rPr>
        <w:t xml:space="preserve">ction verbs are inserted into the categories, but to describe how this goal will be achieved, and to choose strategies and educational technologies, it is necessary to think of the </w:t>
      </w:r>
      <w:r w:rsidR="00752A44" w:rsidRPr="008B76DC">
        <w:rPr>
          <w:rFonts w:ascii="Arial" w:hAnsi="Arial" w:cs="Arial"/>
          <w:sz w:val="24"/>
          <w:szCs w:val="24"/>
          <w:lang w:val="en-US"/>
        </w:rPr>
        <w:t>verb form gerund</w:t>
      </w:r>
      <w:r w:rsidR="00F735B0" w:rsidRPr="008B76DC">
        <w:rPr>
          <w:rFonts w:ascii="Arial" w:hAnsi="Arial" w:cs="Arial"/>
          <w:sz w:val="24"/>
          <w:szCs w:val="24"/>
          <w:lang w:val="en-US"/>
        </w:rPr>
        <w:t>.</w:t>
      </w:r>
      <w:r w:rsidR="00F42C37" w:rsidRPr="008B76DC">
        <w:rPr>
          <w:rFonts w:ascii="Arial" w:hAnsi="Arial" w:cs="Arial"/>
          <w:sz w:val="24"/>
          <w:szCs w:val="24"/>
          <w:lang w:val="en-US"/>
        </w:rPr>
        <w:t xml:space="preserve"> </w:t>
      </w:r>
      <w:r w:rsidR="005A6272" w:rsidRPr="008B76DC">
        <w:rPr>
          <w:rFonts w:ascii="Arial" w:hAnsi="Arial" w:cs="Arial"/>
          <w:sz w:val="24"/>
          <w:szCs w:val="24"/>
          <w:lang w:val="en-US"/>
        </w:rPr>
        <w:t>The following are examples to better understand how to use the table:</w:t>
      </w:r>
      <w:r w:rsidR="00F42C37" w:rsidRPr="008B76DC">
        <w:rPr>
          <w:rFonts w:ascii="Arial" w:hAnsi="Arial" w:cs="Arial"/>
          <w:sz w:val="24"/>
          <w:szCs w:val="24"/>
          <w:lang w:val="en-US"/>
        </w:rPr>
        <w:t xml:space="preserve"> “</w:t>
      </w:r>
      <w:r w:rsidR="00752A44" w:rsidRPr="008B76DC">
        <w:rPr>
          <w:rFonts w:ascii="Arial" w:hAnsi="Arial" w:cs="Arial"/>
          <w:sz w:val="24"/>
          <w:szCs w:val="24"/>
          <w:lang w:val="en-US"/>
        </w:rPr>
        <w:t>Understanding the classification of medicines, explaining the differences between generic, reference/brand, and similar drugs; to remember the path</w:t>
      </w:r>
      <w:r w:rsidR="00C6446B" w:rsidRPr="008B76DC">
        <w:rPr>
          <w:rFonts w:ascii="Arial" w:hAnsi="Arial" w:cs="Arial"/>
          <w:sz w:val="24"/>
          <w:szCs w:val="24"/>
          <w:lang w:val="en-US"/>
        </w:rPr>
        <w:t xml:space="preserve">ology of asthma, recognizing </w:t>
      </w:r>
      <w:r w:rsidR="00752A44" w:rsidRPr="008B76DC">
        <w:rPr>
          <w:rFonts w:ascii="Arial" w:hAnsi="Arial" w:cs="Arial"/>
          <w:sz w:val="24"/>
          <w:szCs w:val="24"/>
          <w:lang w:val="en-US"/>
        </w:rPr>
        <w:t>signs, symptoms, risk factors and comorbidities associated with this pathology; to assess problems of pharmacotherapy, checking the presence of drug interactions”. It is observed that, in each built learning objective, the verb form gerund allows the clarification of the "what" and "how" to evaluate, and if the goal was achieved or not.</w:t>
      </w:r>
    </w:p>
    <w:p w:rsidR="005020A3" w:rsidRPr="008B76DC" w:rsidRDefault="00C6446B"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lastRenderedPageBreak/>
        <w:t>We can cite two of many advantages of using</w:t>
      </w:r>
      <w:r w:rsidR="00892BA0" w:rsidRPr="008B76DC">
        <w:rPr>
          <w:rFonts w:ascii="Arial" w:hAnsi="Arial" w:cs="Arial"/>
          <w:sz w:val="24"/>
          <w:szCs w:val="24"/>
          <w:lang w:val="en-US"/>
        </w:rPr>
        <w:t xml:space="preserve"> Bloom's Taxonomy</w:t>
      </w:r>
      <w:r w:rsidR="00273EBD"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273EBD" w:rsidRPr="008B76DC">
        <w:rPr>
          <w:rFonts w:ascii="Arial" w:hAnsi="Arial" w:cs="Arial"/>
          <w:sz w:val="24"/>
          <w:szCs w:val="24"/>
          <w:lang w:val="en-US"/>
        </w:rPr>
        <w:instrText>ADDIN CSL_CITATION { "citationItems" : [ { "id" : "ITEM-1", "itemData" : { "author" : [ { "dropping-particle" : "", "family" : "BLOOM, B.S.", "given" : "et al.", "non-dropping-particle" : "", "parse-names" : false, "suffix" : "" } ], "id" : "ITEM-1", "issued" : { "date-parts" : [ [ "1956" ] ] }, "publisher" : "Longman", "publisher-place" : "New York", "title" : "Taxonomy of Educational Objectives: The classification of Educational Goals. Handbook I: Cognitive Domain", "type" : "book" }, "uris" : [ "http://www.mendeley.com/documents/?uuid=e5d657fb-8a5d-4cb0-934d-d3511c79f3b0" ] } ], "mendeley" : { "formattedCitation" : "&lt;sup&gt;9&lt;/sup&gt;", "plainTextFormattedCitation" : "9", "previouslyFormattedCitation" : "&lt;sup&gt;9&lt;/sup&gt;"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273EBD" w:rsidRPr="008B76DC">
        <w:rPr>
          <w:rFonts w:ascii="Arial" w:hAnsi="Arial" w:cs="Arial"/>
          <w:noProof/>
          <w:sz w:val="24"/>
          <w:szCs w:val="24"/>
          <w:vertAlign w:val="superscript"/>
          <w:lang w:val="en-US"/>
        </w:rPr>
        <w:t>9</w:t>
      </w:r>
      <w:r w:rsidR="00771EBF" w:rsidRPr="008B76DC">
        <w:rPr>
          <w:rFonts w:ascii="Arial" w:hAnsi="Arial" w:cs="Arial"/>
          <w:sz w:val="24"/>
          <w:szCs w:val="24"/>
          <w:lang w:val="en-US"/>
        </w:rPr>
        <w:fldChar w:fldCharType="end"/>
      </w:r>
      <w:r w:rsidR="00892BA0" w:rsidRPr="008B76DC">
        <w:rPr>
          <w:rFonts w:ascii="Arial" w:hAnsi="Arial" w:cs="Arial"/>
          <w:sz w:val="24"/>
          <w:szCs w:val="24"/>
          <w:lang w:val="en-US"/>
        </w:rPr>
        <w:t xml:space="preserve"> in the educational context: I) provide the basis for the development of assessment tools and use of strategies to facilitate and assess students at different levels of knowledge acquisition, and II) instigate teachers to help their students to acquire competencies from the perception of the need to master simp</w:t>
      </w:r>
      <w:r w:rsidR="00273EBD" w:rsidRPr="008B76DC">
        <w:rPr>
          <w:rFonts w:ascii="Arial" w:hAnsi="Arial" w:cs="Arial"/>
          <w:sz w:val="24"/>
          <w:szCs w:val="24"/>
          <w:lang w:val="en-US"/>
        </w:rPr>
        <w:t>ler skills to more complex ones</w:t>
      </w:r>
      <w:r w:rsidR="005020A3"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937A92" w:rsidRPr="008B76DC">
        <w:rPr>
          <w:rFonts w:ascii="Arial" w:hAnsi="Arial" w:cs="Arial"/>
          <w:sz w:val="24"/>
          <w:szCs w:val="24"/>
          <w:lang w:val="en-US"/>
        </w:rPr>
        <w:instrText>ADDIN CSL_CITATION { "citationItems" : [ { "id" : "ITEM-1", "itemData" : { "author" : [ { "dropping-particle" : "", "family" : "Belhot", "given" : "Renato Vairo", "non-dropping-particle" : "", "parse-names" : false, "suffix" : "" } ], "id" : "ITEM-1", "issued" : { "date-parts" : [ [ "2010" ] ] }, "page" : "421-431", "title" : "Taxonomia de Bloom : revis\u00e3o te\u00f3rica e apresenta\u00e7\u00e3o das adequa\u00e7\u00f5es do instrumento para defini\u00e7\u00e3o de objetivos instrucionais", "type" : "article-journal" }, "uris" : [ "http://www.mendeley.com/documents/?uuid=3d53da41-4fa6-412d-84d8-227c50b7e139" ] } ], "mendeley" : { "formattedCitation" : "&lt;sup&gt;10&lt;/sup&gt;", "plainTextFormattedCitation" : "10", "previouslyFormattedCitation" : "&lt;sup&gt;10&lt;/sup&gt;"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273EBD" w:rsidRPr="008B76DC">
        <w:rPr>
          <w:rFonts w:ascii="Arial" w:hAnsi="Arial" w:cs="Arial"/>
          <w:noProof/>
          <w:sz w:val="24"/>
          <w:szCs w:val="24"/>
          <w:vertAlign w:val="superscript"/>
          <w:lang w:val="en-US"/>
        </w:rPr>
        <w:t>10</w:t>
      </w:r>
      <w:r w:rsidR="00771EBF" w:rsidRPr="008B76DC">
        <w:rPr>
          <w:rFonts w:ascii="Arial" w:hAnsi="Arial" w:cs="Arial"/>
          <w:sz w:val="24"/>
          <w:szCs w:val="24"/>
          <w:lang w:val="en-US"/>
        </w:rPr>
        <w:fldChar w:fldCharType="end"/>
      </w:r>
    </w:p>
    <w:p w:rsidR="00FC1C40" w:rsidRPr="008B76DC" w:rsidRDefault="004455DE"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This research is justified the need to seek new methodologies in teaching-learning process that meets the demands of an education with an integrative view acco</w:t>
      </w:r>
      <w:r w:rsidR="004A4221" w:rsidRPr="008B76DC">
        <w:rPr>
          <w:rFonts w:ascii="Arial" w:hAnsi="Arial" w:cs="Arial"/>
          <w:sz w:val="24"/>
          <w:szCs w:val="24"/>
          <w:lang w:val="en-US"/>
        </w:rPr>
        <w:t>rding to the National</w:t>
      </w:r>
      <w:r w:rsidRPr="008B76DC">
        <w:rPr>
          <w:rFonts w:ascii="Arial" w:hAnsi="Arial" w:cs="Arial"/>
          <w:sz w:val="24"/>
          <w:szCs w:val="24"/>
          <w:lang w:val="en-US"/>
        </w:rPr>
        <w:t xml:space="preserve"> Guidelines for Undergraduate </w:t>
      </w:r>
      <w:r w:rsidR="004A4221" w:rsidRPr="008B76DC">
        <w:rPr>
          <w:rFonts w:ascii="Arial" w:hAnsi="Arial" w:cs="Arial"/>
          <w:sz w:val="24"/>
          <w:szCs w:val="24"/>
          <w:lang w:val="en-US"/>
        </w:rPr>
        <w:t>Education in Pharmacy</w:t>
      </w:r>
      <w:r w:rsidRPr="008B76DC">
        <w:rPr>
          <w:rFonts w:ascii="Arial" w:hAnsi="Arial" w:cs="Arial"/>
          <w:sz w:val="24"/>
          <w:szCs w:val="24"/>
          <w:lang w:val="en-US"/>
        </w:rPr>
        <w:t>.</w:t>
      </w:r>
      <w:r w:rsidR="00FC1C40" w:rsidRPr="008B76DC">
        <w:rPr>
          <w:rFonts w:ascii="Arial" w:hAnsi="Arial" w:cs="Arial"/>
          <w:sz w:val="24"/>
          <w:szCs w:val="24"/>
          <w:lang w:val="en-US"/>
        </w:rPr>
        <w:t xml:space="preserve"> </w:t>
      </w:r>
    </w:p>
    <w:p w:rsidR="00421992" w:rsidRPr="008B76DC" w:rsidRDefault="00AE3C16" w:rsidP="00F9684D">
      <w:pPr>
        <w:spacing w:after="0" w:line="480" w:lineRule="auto"/>
        <w:ind w:firstLine="708"/>
        <w:rPr>
          <w:rFonts w:ascii="Arial" w:hAnsi="Arial" w:cs="Arial"/>
          <w:sz w:val="24"/>
          <w:szCs w:val="24"/>
          <w:lang w:val="en-US"/>
        </w:rPr>
      </w:pPr>
      <w:r w:rsidRPr="008B76DC">
        <w:rPr>
          <w:rFonts w:ascii="Arial" w:hAnsi="Arial" w:cs="Arial"/>
          <w:sz w:val="24"/>
          <w:szCs w:val="24"/>
          <w:lang w:val="en-US"/>
        </w:rPr>
        <w:t>So, we conducted an analysis of the implementation of an active methodology in a blended model of education in the teaching-learning process applied to student</w:t>
      </w:r>
      <w:r w:rsidR="00C6446B" w:rsidRPr="008B76DC">
        <w:rPr>
          <w:rFonts w:ascii="Arial" w:hAnsi="Arial" w:cs="Arial"/>
          <w:sz w:val="24"/>
          <w:szCs w:val="24"/>
          <w:lang w:val="en-US"/>
        </w:rPr>
        <w:t>s enrolled in the disciplin</w:t>
      </w:r>
      <w:r w:rsidR="00CB7055">
        <w:rPr>
          <w:rFonts w:ascii="Arial" w:hAnsi="Arial" w:cs="Arial"/>
          <w:sz w:val="24"/>
          <w:szCs w:val="24"/>
          <w:lang w:val="en-US"/>
        </w:rPr>
        <w:t xml:space="preserve">es Pharmaceutical Care </w:t>
      </w:r>
      <w:r w:rsidR="00C6446B" w:rsidRPr="008B76DC">
        <w:rPr>
          <w:rFonts w:ascii="Arial" w:hAnsi="Arial" w:cs="Arial"/>
          <w:sz w:val="24"/>
          <w:szCs w:val="24"/>
          <w:lang w:val="en-US"/>
        </w:rPr>
        <w:t>of</w:t>
      </w:r>
      <w:r w:rsidRPr="008B76DC">
        <w:rPr>
          <w:rFonts w:ascii="Arial" w:hAnsi="Arial" w:cs="Arial"/>
          <w:sz w:val="24"/>
          <w:szCs w:val="24"/>
          <w:lang w:val="en-US"/>
        </w:rPr>
        <w:t xml:space="preserve"> the Bachelor of Pharmacy at the Federal University of Paraná by taking and comparing the results of the diagnostic and summative assessments based on Bloom's Taxonomy, in multiple-choice questions.</w:t>
      </w:r>
    </w:p>
    <w:p w:rsidR="002C6EE0" w:rsidRPr="008B76DC" w:rsidRDefault="00613937" w:rsidP="00310C02">
      <w:pPr>
        <w:spacing w:after="0" w:line="360" w:lineRule="auto"/>
        <w:rPr>
          <w:rFonts w:ascii="Arial" w:hAnsi="Arial" w:cs="Arial"/>
          <w:b/>
          <w:sz w:val="24"/>
          <w:szCs w:val="24"/>
          <w:lang w:val="en-US"/>
        </w:rPr>
      </w:pPr>
      <w:r w:rsidRPr="008B76DC">
        <w:rPr>
          <w:rFonts w:ascii="Arial" w:hAnsi="Arial" w:cs="Arial"/>
          <w:b/>
          <w:sz w:val="24"/>
          <w:szCs w:val="24"/>
          <w:lang w:val="en-US"/>
        </w:rPr>
        <w:t>2</w:t>
      </w:r>
      <w:r w:rsidR="00B91DF7" w:rsidRPr="008B76DC">
        <w:rPr>
          <w:rFonts w:ascii="Arial" w:hAnsi="Arial" w:cs="Arial"/>
          <w:b/>
          <w:sz w:val="24"/>
          <w:szCs w:val="24"/>
          <w:lang w:val="en-US"/>
        </w:rPr>
        <w:t xml:space="preserve">. </w:t>
      </w:r>
      <w:r w:rsidR="00145700" w:rsidRPr="00145700">
        <w:rPr>
          <w:rFonts w:ascii="Arial" w:hAnsi="Arial" w:cs="Arial"/>
          <w:b/>
          <w:sz w:val="24"/>
          <w:szCs w:val="24"/>
          <w:lang w:val="en-US"/>
        </w:rPr>
        <w:t>EDUCATIONAL ACTIVITY AND SETTING</w:t>
      </w:r>
    </w:p>
    <w:p w:rsidR="0056160C" w:rsidRPr="008B76DC" w:rsidRDefault="0056160C" w:rsidP="00310C02">
      <w:pPr>
        <w:spacing w:after="0" w:line="480" w:lineRule="auto"/>
        <w:rPr>
          <w:rFonts w:ascii="Arial" w:hAnsi="Arial" w:cs="Arial"/>
          <w:sz w:val="24"/>
          <w:szCs w:val="24"/>
          <w:lang w:val="en-US"/>
        </w:rPr>
      </w:pPr>
    </w:p>
    <w:p w:rsidR="00F36607" w:rsidRPr="008B76DC" w:rsidRDefault="00FB5E97"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The study design was quasi-experimental, prospective, comparative, of the type before and after, in which Pharmaceutical Care classes were the intervention.</w:t>
      </w:r>
      <w:r w:rsidR="00027340">
        <w:rPr>
          <w:rFonts w:ascii="Arial" w:hAnsi="Arial" w:cs="Arial"/>
          <w:sz w:val="24"/>
          <w:szCs w:val="24"/>
          <w:lang w:val="en-US"/>
        </w:rPr>
        <w:t xml:space="preserve"> </w:t>
      </w:r>
      <w:r w:rsidR="0074123E" w:rsidRPr="008B76DC">
        <w:rPr>
          <w:rFonts w:ascii="Arial" w:hAnsi="Arial" w:cs="Arial"/>
          <w:sz w:val="24"/>
          <w:szCs w:val="24"/>
          <w:lang w:val="en-US"/>
        </w:rPr>
        <w:t>Participants of this study were students enrolled in disciplines Pharmaceutical Care I and II of the Bachelor of Pharmacy at the Federal University of Paraná.</w:t>
      </w:r>
      <w:r w:rsidR="00027340">
        <w:rPr>
          <w:rFonts w:ascii="Arial" w:hAnsi="Arial" w:cs="Arial"/>
          <w:sz w:val="24"/>
          <w:szCs w:val="24"/>
          <w:lang w:val="en-US"/>
        </w:rPr>
        <w:t xml:space="preserve"> </w:t>
      </w:r>
    </w:p>
    <w:p w:rsidR="00F261D0" w:rsidRPr="008B76DC" w:rsidRDefault="00FB2256" w:rsidP="00310C02">
      <w:pPr>
        <w:spacing w:after="0" w:line="480" w:lineRule="auto"/>
        <w:ind w:firstLine="708"/>
        <w:rPr>
          <w:rFonts w:ascii="Arial" w:hAnsi="Arial" w:cs="Arial"/>
          <w:noProof/>
          <w:sz w:val="24"/>
          <w:szCs w:val="24"/>
          <w:lang w:val="en-US" w:eastAsia="pt-BR"/>
        </w:rPr>
      </w:pPr>
      <w:r w:rsidRPr="008B76DC">
        <w:rPr>
          <w:rFonts w:ascii="Arial" w:hAnsi="Arial" w:cs="Arial"/>
          <w:noProof/>
          <w:sz w:val="24"/>
          <w:szCs w:val="24"/>
          <w:lang w:val="en-US" w:eastAsia="pt-BR"/>
        </w:rPr>
        <w:t>The active methodology was applied to students in the disciplines of Pharmaceutical Care Pharmaceutical Care I and II of the Bachelor of Pharmacy course at the Federal University of Paraná through a model of blended learning.</w:t>
      </w:r>
      <w:r w:rsidR="00951137" w:rsidRPr="008B76DC">
        <w:rPr>
          <w:rFonts w:ascii="Arial" w:hAnsi="Arial" w:cs="Arial"/>
          <w:noProof/>
          <w:sz w:val="24"/>
          <w:szCs w:val="24"/>
          <w:lang w:val="en-US" w:eastAsia="pt-BR"/>
        </w:rPr>
        <w:t xml:space="preserve"> </w:t>
      </w:r>
      <w:r w:rsidR="00F261D0" w:rsidRPr="008B76DC">
        <w:rPr>
          <w:rFonts w:ascii="Arial" w:hAnsi="Arial" w:cs="Arial"/>
          <w:noProof/>
          <w:sz w:val="24"/>
          <w:szCs w:val="24"/>
          <w:lang w:val="en-US" w:eastAsia="pt-BR"/>
        </w:rPr>
        <w:t>Disciplines were structured combining face to face learning activities with activities carried out by distance, considering the context of these disciplines, students, the virtual learning environment "Moodle UFP</w:t>
      </w:r>
      <w:r w:rsidR="004E0802" w:rsidRPr="008B76DC">
        <w:rPr>
          <w:rFonts w:ascii="Arial" w:hAnsi="Arial" w:cs="Arial"/>
          <w:noProof/>
          <w:sz w:val="24"/>
          <w:szCs w:val="24"/>
          <w:lang w:val="en-US" w:eastAsia="pt-BR"/>
        </w:rPr>
        <w:t>R"</w:t>
      </w:r>
      <w:r w:rsidR="007A0154" w:rsidRPr="007A0154">
        <w:t xml:space="preserve"> </w:t>
      </w:r>
      <w:r w:rsidR="007A0154">
        <w:t>(</w:t>
      </w:r>
      <w:r w:rsidR="007A0154" w:rsidRPr="007A0154">
        <w:rPr>
          <w:rFonts w:ascii="Arial" w:hAnsi="Arial" w:cs="Arial"/>
          <w:i/>
          <w:noProof/>
          <w:sz w:val="24"/>
          <w:szCs w:val="24"/>
          <w:lang w:val="en-US" w:eastAsia="pt-BR"/>
        </w:rPr>
        <w:t xml:space="preserve">Modular Object-Oriented Dynamic </w:t>
      </w:r>
      <w:r w:rsidR="007A0154" w:rsidRPr="007A0154">
        <w:rPr>
          <w:rFonts w:ascii="Arial" w:hAnsi="Arial" w:cs="Arial"/>
          <w:i/>
          <w:noProof/>
          <w:sz w:val="24"/>
          <w:szCs w:val="24"/>
          <w:lang w:val="en-US" w:eastAsia="pt-BR"/>
        </w:rPr>
        <w:lastRenderedPageBreak/>
        <w:t>Learning Environment</w:t>
      </w:r>
      <w:r w:rsidR="007A0154">
        <w:rPr>
          <w:rFonts w:ascii="Arial" w:hAnsi="Arial" w:cs="Arial"/>
          <w:noProof/>
          <w:sz w:val="24"/>
          <w:szCs w:val="24"/>
          <w:lang w:val="en-US" w:eastAsia="pt-BR"/>
        </w:rPr>
        <w:t xml:space="preserve"> </w:t>
      </w:r>
      <w:r w:rsidR="007A0154" w:rsidRPr="007A0154">
        <w:rPr>
          <w:rFonts w:ascii="Arial" w:hAnsi="Arial" w:cs="Arial"/>
          <w:noProof/>
          <w:sz w:val="24"/>
          <w:szCs w:val="24"/>
          <w:lang w:val="en-US" w:eastAsia="pt-BR"/>
        </w:rPr>
        <w:t>of Federal University of Parana</w:t>
      </w:r>
      <w:r w:rsidR="004E0802" w:rsidRPr="008B76DC">
        <w:rPr>
          <w:rFonts w:ascii="Arial" w:hAnsi="Arial" w:cs="Arial"/>
          <w:noProof/>
          <w:sz w:val="24"/>
          <w:szCs w:val="24"/>
          <w:lang w:val="en-US" w:eastAsia="pt-BR"/>
        </w:rPr>
        <w:t>, learning objectives and</w:t>
      </w:r>
      <w:r w:rsidR="00F261D0" w:rsidRPr="008B76DC">
        <w:rPr>
          <w:rFonts w:ascii="Arial" w:hAnsi="Arial" w:cs="Arial"/>
          <w:noProof/>
          <w:sz w:val="24"/>
          <w:szCs w:val="24"/>
          <w:lang w:val="en-US" w:eastAsia="pt-BR"/>
        </w:rPr>
        <w:t xml:space="preserve"> educational adequacy.</w:t>
      </w:r>
      <w:bookmarkStart w:id="0" w:name="_GoBack"/>
      <w:bookmarkEnd w:id="0"/>
    </w:p>
    <w:p w:rsidR="00121E85" w:rsidRPr="008B76DC" w:rsidRDefault="00916E5E" w:rsidP="00F9684D">
      <w:pPr>
        <w:spacing w:after="0" w:line="480" w:lineRule="auto"/>
        <w:ind w:firstLine="708"/>
        <w:rPr>
          <w:rFonts w:ascii="Arial" w:hAnsi="Arial" w:cs="Arial"/>
          <w:noProof/>
          <w:sz w:val="24"/>
          <w:szCs w:val="24"/>
          <w:lang w:val="en-US" w:eastAsia="pt-BR"/>
        </w:rPr>
      </w:pPr>
      <w:r w:rsidRPr="008B76DC">
        <w:rPr>
          <w:rFonts w:ascii="Arial" w:hAnsi="Arial" w:cs="Arial"/>
          <w:noProof/>
          <w:sz w:val="24"/>
          <w:szCs w:val="24"/>
          <w:lang w:val="en-US" w:eastAsia="pt-BR"/>
        </w:rPr>
        <w:t>T</w:t>
      </w:r>
      <w:r w:rsidR="00F261D0" w:rsidRPr="008B76DC">
        <w:rPr>
          <w:rFonts w:ascii="Arial" w:hAnsi="Arial" w:cs="Arial"/>
          <w:noProof/>
          <w:sz w:val="24"/>
          <w:szCs w:val="24"/>
          <w:lang w:val="en-US" w:eastAsia="pt-BR"/>
        </w:rPr>
        <w:t>he hybrid teaching model used</w:t>
      </w:r>
      <w:r w:rsidRPr="008B76DC">
        <w:rPr>
          <w:rFonts w:ascii="Arial" w:hAnsi="Arial" w:cs="Arial"/>
          <w:noProof/>
          <w:sz w:val="24"/>
          <w:szCs w:val="24"/>
          <w:lang w:val="en-US" w:eastAsia="pt-BR"/>
        </w:rPr>
        <w:t xml:space="preserve"> was the enriched virtual model </w:t>
      </w:r>
      <w:r w:rsidR="00F261D0" w:rsidRPr="008B76DC">
        <w:rPr>
          <w:rFonts w:ascii="Arial" w:hAnsi="Arial" w:cs="Arial"/>
          <w:noProof/>
          <w:sz w:val="24"/>
          <w:szCs w:val="24"/>
          <w:lang w:val="en-US" w:eastAsia="pt-BR"/>
        </w:rPr>
        <w:t>(F</w:t>
      </w:r>
      <w:r w:rsidR="00287320" w:rsidRPr="008B76DC">
        <w:rPr>
          <w:rFonts w:ascii="Arial" w:hAnsi="Arial" w:cs="Arial"/>
          <w:noProof/>
          <w:sz w:val="24"/>
          <w:szCs w:val="24"/>
          <w:lang w:val="en-US" w:eastAsia="pt-BR"/>
        </w:rPr>
        <w:t>IGURE</w:t>
      </w:r>
      <w:r w:rsidR="00F261D0" w:rsidRPr="008B76DC">
        <w:rPr>
          <w:rFonts w:ascii="Arial" w:hAnsi="Arial" w:cs="Arial"/>
          <w:noProof/>
          <w:sz w:val="24"/>
          <w:szCs w:val="24"/>
          <w:lang w:val="en-US" w:eastAsia="pt-BR"/>
        </w:rPr>
        <w:t xml:space="preserve"> 2). It consists of subjects in which students have mandatory classroom lessons with their professors, and, afterwards, they are free to complete the remaining tasks by distance.</w:t>
      </w:r>
      <w:r w:rsidRPr="008B76DC">
        <w:rPr>
          <w:rFonts w:ascii="Arial" w:hAnsi="Arial" w:cs="Arial"/>
          <w:noProof/>
          <w:sz w:val="24"/>
          <w:szCs w:val="24"/>
          <w:lang w:val="en-US" w:eastAsia="pt-BR"/>
        </w:rPr>
        <w:t xml:space="preserve"> Online education is the backbone of learning when students are in remote locations. </w:t>
      </w:r>
      <w:r w:rsidR="004E0802" w:rsidRPr="008B76DC">
        <w:rPr>
          <w:rFonts w:ascii="Arial" w:hAnsi="Arial" w:cs="Arial"/>
          <w:noProof/>
          <w:sz w:val="24"/>
          <w:szCs w:val="24"/>
          <w:lang w:val="en-US" w:eastAsia="pt-BR"/>
        </w:rPr>
        <w:t>The same teacher conducted classroom lessons and</w:t>
      </w:r>
      <w:r w:rsidR="00EA103F" w:rsidRPr="008B76DC">
        <w:rPr>
          <w:rFonts w:ascii="Arial" w:hAnsi="Arial" w:cs="Arial"/>
          <w:noProof/>
          <w:sz w:val="24"/>
          <w:szCs w:val="24"/>
          <w:lang w:val="en-US" w:eastAsia="pt-BR"/>
        </w:rPr>
        <w:t xml:space="preserve"> distance activities. The chosen model differs from a fully online course, because </w:t>
      </w:r>
      <w:r w:rsidR="00937A92" w:rsidRPr="008B76DC">
        <w:rPr>
          <w:rFonts w:ascii="Arial" w:hAnsi="Arial" w:cs="Arial"/>
          <w:noProof/>
          <w:sz w:val="24"/>
          <w:szCs w:val="24"/>
          <w:lang w:val="en-US" w:eastAsia="pt-BR"/>
        </w:rPr>
        <w:t>classroom lessons are mandatory</w:t>
      </w:r>
      <w:r w:rsidR="00F36607" w:rsidRPr="008B76DC">
        <w:rPr>
          <w:rFonts w:ascii="Arial" w:hAnsi="Arial" w:cs="Arial"/>
          <w:noProof/>
          <w:sz w:val="24"/>
          <w:szCs w:val="24"/>
          <w:lang w:val="en-US" w:eastAsia="pt-BR"/>
        </w:rPr>
        <w:t>.</w:t>
      </w:r>
      <w:r w:rsidR="00771EBF" w:rsidRPr="008B76DC">
        <w:rPr>
          <w:rFonts w:ascii="Arial" w:hAnsi="Arial" w:cs="Arial"/>
          <w:noProof/>
          <w:sz w:val="24"/>
          <w:szCs w:val="24"/>
          <w:lang w:val="en-US" w:eastAsia="pt-BR"/>
        </w:rPr>
        <w:fldChar w:fldCharType="begin" w:fldLock="1"/>
      </w:r>
      <w:r w:rsidR="000B3BAB" w:rsidRPr="008B76DC">
        <w:rPr>
          <w:rFonts w:ascii="Arial" w:hAnsi="Arial" w:cs="Arial"/>
          <w:noProof/>
          <w:sz w:val="24"/>
          <w:szCs w:val="24"/>
          <w:lang w:val="en-US" w:eastAsia="pt-BR"/>
        </w:rPr>
        <w:instrText>ADDIN CSL_CITATION { "citationItems" : [ { "id" : "ITEM-1", "itemData" : { "author" : [ { "dropping-particle" : "", "family" : "HORN, M.B.; STAKER", "given" : "H", "non-dropping-particle" : "", "parse-names" : false, "suffix" : "" } ], "id" : "ITEM-1", "issued" : { "date-parts" : [ [ "2015" ] ] }, "publisher" : "Penso", "publisher-place" : "Porto Alegre", "title" : "Blended: usando a inova\u00e7\u00e3o disruptiva para aprimorar a educa\u00e7\u00e3o. Tradu\u00e7\u00e3o: Maria Cristina Gularte Monteiro", "type" : "book" }, "uris" : [ "http://www.mendeley.com/documents/?uuid=7b60bf8e-e0f8-47ac-9569-6d66bc910c0e" ] } ], "mendeley" : { "formattedCitation" : "&lt;sup&gt;7&lt;/sup&gt;", "plainTextFormattedCitation" : "7", "previouslyFormattedCitation" : "&lt;sup&gt;7&lt;/sup&gt;" }, "properties" : { "noteIndex" : 0 }, "schema" : "https://github.com/citation-style-language/schema/raw/master/csl-citation.json" }</w:instrText>
      </w:r>
      <w:r w:rsidR="00771EBF" w:rsidRPr="008B76DC">
        <w:rPr>
          <w:rFonts w:ascii="Arial" w:hAnsi="Arial" w:cs="Arial"/>
          <w:noProof/>
          <w:sz w:val="24"/>
          <w:szCs w:val="24"/>
          <w:lang w:val="en-US" w:eastAsia="pt-BR"/>
        </w:rPr>
        <w:fldChar w:fldCharType="separate"/>
      </w:r>
      <w:r w:rsidR="00937A92" w:rsidRPr="008B76DC">
        <w:rPr>
          <w:rFonts w:ascii="Arial" w:hAnsi="Arial" w:cs="Arial"/>
          <w:noProof/>
          <w:sz w:val="24"/>
          <w:szCs w:val="24"/>
          <w:vertAlign w:val="superscript"/>
          <w:lang w:val="en-US" w:eastAsia="pt-BR"/>
        </w:rPr>
        <w:t>7</w:t>
      </w:r>
      <w:r w:rsidR="00771EBF" w:rsidRPr="008B76DC">
        <w:rPr>
          <w:rFonts w:ascii="Arial" w:hAnsi="Arial" w:cs="Arial"/>
          <w:noProof/>
          <w:sz w:val="24"/>
          <w:szCs w:val="24"/>
          <w:lang w:val="en-US" w:eastAsia="pt-BR"/>
        </w:rPr>
        <w:fldChar w:fldCharType="end"/>
      </w:r>
    </w:p>
    <w:p w:rsidR="00A651F4" w:rsidRPr="008B76DC" w:rsidRDefault="00D0561C" w:rsidP="00310C02">
      <w:pPr>
        <w:spacing w:after="0" w:line="480" w:lineRule="auto"/>
        <w:ind w:firstLine="708"/>
        <w:rPr>
          <w:rFonts w:ascii="Arial" w:hAnsi="Arial" w:cs="Arial"/>
          <w:noProof/>
          <w:sz w:val="24"/>
          <w:szCs w:val="24"/>
          <w:lang w:val="en-US" w:eastAsia="pt-BR"/>
        </w:rPr>
      </w:pPr>
      <w:r w:rsidRPr="008B76DC">
        <w:rPr>
          <w:rFonts w:ascii="Arial" w:hAnsi="Arial" w:cs="Arial"/>
          <w:noProof/>
          <w:sz w:val="24"/>
          <w:szCs w:val="24"/>
          <w:lang w:val="en-US" w:eastAsia="pt-BR"/>
        </w:rPr>
        <w:t>P</w:t>
      </w:r>
      <w:r w:rsidR="00445FC9" w:rsidRPr="008B76DC">
        <w:rPr>
          <w:rFonts w:ascii="Arial" w:hAnsi="Arial" w:cs="Arial"/>
          <w:noProof/>
          <w:sz w:val="24"/>
          <w:szCs w:val="24"/>
          <w:lang w:val="en-US" w:eastAsia="pt-BR"/>
        </w:rPr>
        <w:t>roposition of the work plan's schedule was initiated from the disciplines' themes, seeking its current context and problematization, giving meaning to learning.</w:t>
      </w:r>
      <w:r w:rsidRPr="008B76DC">
        <w:rPr>
          <w:rFonts w:ascii="Arial" w:hAnsi="Arial" w:cs="Arial"/>
          <w:noProof/>
          <w:sz w:val="24"/>
          <w:szCs w:val="24"/>
          <w:lang w:val="en-US" w:eastAsia="pt-BR"/>
        </w:rPr>
        <w:t xml:space="preserve"> Learning a</w:t>
      </w:r>
      <w:r w:rsidR="007214BE" w:rsidRPr="008B76DC">
        <w:rPr>
          <w:rFonts w:ascii="Arial" w:hAnsi="Arial" w:cs="Arial"/>
          <w:noProof/>
          <w:sz w:val="24"/>
          <w:szCs w:val="24"/>
          <w:lang w:val="en-US" w:eastAsia="pt-BR"/>
        </w:rPr>
        <w:t>ssessment occurred throughout the process, and the interface of the Virtual Environment for Teaching and Learning could be directed to assessments situations.</w:t>
      </w:r>
    </w:p>
    <w:p w:rsidR="006E4EE8" w:rsidRPr="008B76DC" w:rsidRDefault="007214BE" w:rsidP="00310C02">
      <w:pPr>
        <w:spacing w:after="0" w:line="480" w:lineRule="auto"/>
        <w:ind w:firstLine="708"/>
        <w:rPr>
          <w:rFonts w:ascii="Arial" w:hAnsi="Arial" w:cs="Arial"/>
          <w:noProof/>
          <w:sz w:val="24"/>
          <w:szCs w:val="24"/>
          <w:lang w:val="en-US" w:eastAsia="pt-BR"/>
        </w:rPr>
      </w:pPr>
      <w:r w:rsidRPr="008B76DC">
        <w:rPr>
          <w:rFonts w:ascii="Arial" w:hAnsi="Arial" w:cs="Arial"/>
          <w:noProof/>
          <w:sz w:val="24"/>
          <w:szCs w:val="24"/>
          <w:lang w:val="en-US" w:eastAsia="pt-BR"/>
        </w:rPr>
        <w:t>For evaluating the impact of the disciplines Pharmaceutical Care I and II in blended learning format on the acquisition of knowledge, a pre-test (diagnostic evaluation) was applied on the first day of classes to assess the students' knowledge level on the subjects that would be addressed throughout the disciplines; and at the end of the semester a post-test (summative assessment) was applied to assess how much students had learned about the content.</w:t>
      </w:r>
      <w:r w:rsidR="006E4EE8" w:rsidRPr="008B76DC">
        <w:rPr>
          <w:rFonts w:ascii="Arial" w:hAnsi="Arial" w:cs="Arial"/>
          <w:noProof/>
          <w:sz w:val="24"/>
          <w:szCs w:val="24"/>
          <w:lang w:val="en-US" w:eastAsia="pt-BR"/>
        </w:rPr>
        <w:t xml:space="preserve"> </w:t>
      </w:r>
    </w:p>
    <w:p w:rsidR="00345912" w:rsidRPr="008B76DC" w:rsidRDefault="00345912" w:rsidP="00310C02">
      <w:pPr>
        <w:spacing w:after="0" w:line="480" w:lineRule="auto"/>
        <w:ind w:firstLine="708"/>
        <w:rPr>
          <w:rFonts w:ascii="Arial" w:hAnsi="Arial" w:cs="Arial"/>
          <w:noProof/>
          <w:sz w:val="24"/>
          <w:szCs w:val="24"/>
          <w:lang w:val="en-US" w:eastAsia="pt-BR"/>
        </w:rPr>
      </w:pPr>
      <w:r w:rsidRPr="008B76DC">
        <w:rPr>
          <w:rFonts w:ascii="Arial" w:hAnsi="Arial" w:cs="Arial"/>
          <w:noProof/>
          <w:sz w:val="24"/>
          <w:szCs w:val="24"/>
          <w:lang w:val="en-US" w:eastAsia="pt-BR"/>
        </w:rPr>
        <w:t xml:space="preserve">According to Vygotsky </w:t>
      </w:r>
      <w:r w:rsidR="00771EBF" w:rsidRPr="008B76DC">
        <w:rPr>
          <w:rFonts w:ascii="Arial" w:hAnsi="Arial" w:cs="Arial"/>
          <w:noProof/>
          <w:sz w:val="24"/>
          <w:szCs w:val="24"/>
          <w:lang w:val="en-US" w:eastAsia="pt-BR"/>
        </w:rPr>
        <w:fldChar w:fldCharType="begin" w:fldLock="1"/>
      </w:r>
      <w:r w:rsidR="00AD4A9B" w:rsidRPr="008B76DC">
        <w:rPr>
          <w:rFonts w:ascii="Arial" w:hAnsi="Arial" w:cs="Arial"/>
          <w:noProof/>
          <w:sz w:val="24"/>
          <w:szCs w:val="24"/>
          <w:lang w:val="en-US" w:eastAsia="pt-BR"/>
        </w:rPr>
        <w:instrText>ADDIN CSL_CITATION { "citationItems" : [ { "id" : "ITEM-1", "itemData" : { "author" : [ { "dropping-particle" : "", "family" : "VYGOTSKY", "given" : "L.S.", "non-dropping-particle" : "", "parse-names" : false, "suffix" : "" } ], "id" : "ITEM-1", "issued" : { "date-parts" : [ [ "1993" ] ] }, "publisher" : "Martins Fontes", "publisher-place" : "S\u00e3o Paulo", "title" : "Pensamento e linguagem", "type" : "book" }, "uris" : [ "http://www.mendeley.com/documents/?uuid=7f5d4214-6693-476e-881d-5ad78001038b" ] } ], "mendeley" : { "formattedCitation" : "&lt;sup&gt;13&lt;/sup&gt;", "plainTextFormattedCitation" : "13", "previouslyFormattedCitation" : "&lt;sup&gt;13&lt;/sup&gt;" }, "properties" : { "noteIndex" : 0 }, "schema" : "https://github.com/citation-style-language/schema/raw/master/csl-citation.json" }</w:instrText>
      </w:r>
      <w:r w:rsidR="00771EBF" w:rsidRPr="008B76DC">
        <w:rPr>
          <w:rFonts w:ascii="Arial" w:hAnsi="Arial" w:cs="Arial"/>
          <w:noProof/>
          <w:sz w:val="24"/>
          <w:szCs w:val="24"/>
          <w:lang w:val="en-US" w:eastAsia="pt-BR"/>
        </w:rPr>
        <w:fldChar w:fldCharType="separate"/>
      </w:r>
      <w:r w:rsidR="00AD4A9B" w:rsidRPr="008B76DC">
        <w:rPr>
          <w:rFonts w:ascii="Arial" w:hAnsi="Arial" w:cs="Arial"/>
          <w:noProof/>
          <w:sz w:val="24"/>
          <w:szCs w:val="24"/>
          <w:vertAlign w:val="superscript"/>
          <w:lang w:val="en-US" w:eastAsia="pt-BR"/>
        </w:rPr>
        <w:t>13</w:t>
      </w:r>
      <w:r w:rsidR="00771EBF" w:rsidRPr="008B76DC">
        <w:rPr>
          <w:rFonts w:ascii="Arial" w:hAnsi="Arial" w:cs="Arial"/>
          <w:noProof/>
          <w:sz w:val="24"/>
          <w:szCs w:val="24"/>
          <w:lang w:val="en-US" w:eastAsia="pt-BR"/>
        </w:rPr>
        <w:fldChar w:fldCharType="end"/>
      </w:r>
      <w:r w:rsidR="00AD4A9B" w:rsidRPr="008B76DC">
        <w:rPr>
          <w:rFonts w:ascii="Arial" w:hAnsi="Arial" w:cs="Arial"/>
          <w:noProof/>
          <w:sz w:val="24"/>
          <w:szCs w:val="24"/>
          <w:lang w:val="en-US" w:eastAsia="pt-BR"/>
        </w:rPr>
        <w:t xml:space="preserve"> </w:t>
      </w:r>
      <w:r w:rsidR="00771EBF" w:rsidRPr="008B76DC">
        <w:rPr>
          <w:rFonts w:ascii="Arial" w:hAnsi="Arial" w:cs="Arial"/>
          <w:noProof/>
          <w:sz w:val="24"/>
          <w:szCs w:val="24"/>
          <w:lang w:val="en-US" w:eastAsia="pt-BR"/>
        </w:rPr>
        <w:fldChar w:fldCharType="begin" w:fldLock="1"/>
      </w:r>
      <w:r w:rsidR="003F5588" w:rsidRPr="008B76DC">
        <w:rPr>
          <w:rFonts w:ascii="Arial" w:hAnsi="Arial" w:cs="Arial"/>
          <w:noProof/>
          <w:sz w:val="24"/>
          <w:szCs w:val="24"/>
          <w:lang w:val="en-US" w:eastAsia="pt-BR"/>
        </w:rPr>
        <w:instrText>ADDIN CSL_CITATION { "citationItems" : [ { "id" : "ITEM-1", "itemData" : { "author" : [ { "dropping-particle" : "", "family" : "VYGOTSKY", "given" : "L.S.", "non-dropping-particle" : "", "parse-names" : false, "suffix" : "" } ], "id" : "ITEM-1", "issued" : { "date-parts" : [ [ "1994" ] ] }, "publisher" : "Martins Fontes", "publisher-place" : "S\u00e3o Paulo", "title" : "A forma\u00e7\u00e3o social da mente: o desenvolvimento dos processos psicol\u00f3gicos superiores", "type" : "book" }, "uris" : [ "http://www.mendeley.com/documents/?uuid=22f6a691-9744-40f9-8b0f-5b6b35b7f2ed" ] } ], "mendeley" : { "formattedCitation" : "&lt;sup&gt;14&lt;/sup&gt;", "plainTextFormattedCitation" : "14", "previouslyFormattedCitation" : "&lt;sup&gt;14&lt;/sup&gt;" }, "properties" : { "noteIndex" : 0 }, "schema" : "https://github.com/citation-style-language/schema/raw/master/csl-citation.json" }</w:instrText>
      </w:r>
      <w:r w:rsidR="00771EBF" w:rsidRPr="008B76DC">
        <w:rPr>
          <w:rFonts w:ascii="Arial" w:hAnsi="Arial" w:cs="Arial"/>
          <w:noProof/>
          <w:sz w:val="24"/>
          <w:szCs w:val="24"/>
          <w:lang w:val="en-US" w:eastAsia="pt-BR"/>
        </w:rPr>
        <w:fldChar w:fldCharType="separate"/>
      </w:r>
      <w:r w:rsidR="00AD4A9B" w:rsidRPr="008B76DC">
        <w:rPr>
          <w:rFonts w:ascii="Arial" w:hAnsi="Arial" w:cs="Arial"/>
          <w:noProof/>
          <w:sz w:val="24"/>
          <w:szCs w:val="24"/>
          <w:vertAlign w:val="superscript"/>
          <w:lang w:val="en-US" w:eastAsia="pt-BR"/>
        </w:rPr>
        <w:t>14</w:t>
      </w:r>
      <w:r w:rsidR="00771EBF" w:rsidRPr="008B76DC">
        <w:rPr>
          <w:rFonts w:ascii="Arial" w:hAnsi="Arial" w:cs="Arial"/>
          <w:noProof/>
          <w:sz w:val="24"/>
          <w:szCs w:val="24"/>
          <w:lang w:val="en-US" w:eastAsia="pt-BR"/>
        </w:rPr>
        <w:fldChar w:fldCharType="end"/>
      </w:r>
      <w:r w:rsidRPr="008B76DC">
        <w:rPr>
          <w:rFonts w:ascii="Arial" w:hAnsi="Arial" w:cs="Arial"/>
          <w:noProof/>
          <w:sz w:val="24"/>
          <w:szCs w:val="24"/>
          <w:lang w:val="en-US" w:eastAsia="pt-BR"/>
        </w:rPr>
        <w:t>, the diagnostic dimension of evaluation designates real knowledge - what is already known about a particular object of knowledge.</w:t>
      </w:r>
    </w:p>
    <w:p w:rsidR="00345912" w:rsidRPr="008B76DC" w:rsidRDefault="00345912" w:rsidP="00310C02">
      <w:pPr>
        <w:spacing w:after="0" w:line="480" w:lineRule="auto"/>
        <w:ind w:firstLine="708"/>
        <w:rPr>
          <w:rFonts w:ascii="Arial" w:hAnsi="Arial" w:cs="Arial"/>
          <w:noProof/>
          <w:sz w:val="24"/>
          <w:szCs w:val="24"/>
          <w:lang w:val="en-US" w:eastAsia="pt-BR"/>
        </w:rPr>
      </w:pPr>
      <w:r w:rsidRPr="008B76DC">
        <w:rPr>
          <w:rFonts w:ascii="Arial" w:hAnsi="Arial" w:cs="Arial"/>
          <w:noProof/>
          <w:sz w:val="24"/>
          <w:szCs w:val="24"/>
          <w:lang w:val="en-US" w:eastAsia="pt-BR"/>
        </w:rPr>
        <w:t xml:space="preserve">The term "summative evaluation" refers to the assessment that aims to give an overview of student's performance </w:t>
      </w:r>
      <w:r w:rsidR="003F5588" w:rsidRPr="008B76DC">
        <w:rPr>
          <w:rFonts w:ascii="Arial" w:hAnsi="Arial" w:cs="Arial"/>
          <w:noProof/>
          <w:sz w:val="24"/>
          <w:szCs w:val="24"/>
          <w:lang w:val="en-US" w:eastAsia="pt-BR"/>
        </w:rPr>
        <w:t>at the end of a period</w:t>
      </w:r>
      <w:r w:rsidRPr="008B76DC">
        <w:rPr>
          <w:rFonts w:ascii="Arial" w:hAnsi="Arial" w:cs="Arial"/>
          <w:noProof/>
          <w:sz w:val="24"/>
          <w:szCs w:val="24"/>
          <w:lang w:val="en-US" w:eastAsia="pt-BR"/>
        </w:rPr>
        <w:t>.</w:t>
      </w:r>
      <w:r w:rsidR="00771EBF" w:rsidRPr="008B76DC">
        <w:rPr>
          <w:rFonts w:ascii="Arial" w:hAnsi="Arial" w:cs="Arial"/>
          <w:noProof/>
          <w:sz w:val="24"/>
          <w:szCs w:val="24"/>
          <w:lang w:val="en-US" w:eastAsia="pt-BR"/>
        </w:rPr>
        <w:fldChar w:fldCharType="begin" w:fldLock="1"/>
      </w:r>
      <w:r w:rsidR="003F5588" w:rsidRPr="008B76DC">
        <w:rPr>
          <w:rFonts w:ascii="Arial" w:hAnsi="Arial" w:cs="Arial"/>
          <w:noProof/>
          <w:sz w:val="24"/>
          <w:szCs w:val="24"/>
          <w:lang w:val="en-US" w:eastAsia="pt-BR"/>
        </w:rPr>
        <w:instrText>ADDIN CSL_CITATION { "citationItems" : [ { "id" : "ITEM-1", "itemData" : { "DOI" : "10.1002/hrm", "ISBN" : "9780708713815", "ISSN" : "00317217", "PMID" : "21138203", "abstract" : "Firm evidence shows that formative assessment is an essential component of classroom work and that its development can raise standards of achievement, Mr. Black and Mr. Wiliam point out. Indeed, they know of no other way of raising standards for which such a strong prima facie case can be made.", "author" : [ { "dropping-particle" : "", "family" : "Black", "given" : "Paul", "non-dropping-particle" : "", "parse-names" : false, "suffix" : "" }, { "dropping-particle" : "", "family" : "Wiliam", "given" : "Dylan", "non-dropping-particle" : "", "parse-names" : false, "suffix" : "" } ], "container-title" : "Phi Delta Kappan", "id" : "ITEM-1", "issue" : "2", "issued" : { "date-parts" : [ [ "1998" ] ] }, "page" : "139-148", "title" : "Inside the Black Box: Raising Standards Through Classroom Assessment", "type" : "article-journal", "volume" : "80" }, "uris" : [ "http://www.mendeley.com/documents/?uuid=5285b1de-5dd3-4a08-8752-16a7fd95b2b1" ] } ], "mendeley" : { "formattedCitation" : "&lt;sup&gt;15&lt;/sup&gt;", "plainTextFormattedCitation" : "15", "previouslyFormattedCitation" : "&lt;sup&gt;15&lt;/sup&gt;" }, "properties" : { "noteIndex" : 0 }, "schema" : "https://github.com/citation-style-language/schema/raw/master/csl-citation.json" }</w:instrText>
      </w:r>
      <w:r w:rsidR="00771EBF" w:rsidRPr="008B76DC">
        <w:rPr>
          <w:rFonts w:ascii="Arial" w:hAnsi="Arial" w:cs="Arial"/>
          <w:noProof/>
          <w:sz w:val="24"/>
          <w:szCs w:val="24"/>
          <w:lang w:val="en-US" w:eastAsia="pt-BR"/>
        </w:rPr>
        <w:fldChar w:fldCharType="separate"/>
      </w:r>
      <w:r w:rsidR="003F5588" w:rsidRPr="008B76DC">
        <w:rPr>
          <w:rFonts w:ascii="Arial" w:hAnsi="Arial" w:cs="Arial"/>
          <w:noProof/>
          <w:sz w:val="24"/>
          <w:szCs w:val="24"/>
          <w:vertAlign w:val="superscript"/>
          <w:lang w:val="en-US" w:eastAsia="pt-BR"/>
        </w:rPr>
        <w:t>15</w:t>
      </w:r>
      <w:r w:rsidR="00771EBF" w:rsidRPr="008B76DC">
        <w:rPr>
          <w:rFonts w:ascii="Arial" w:hAnsi="Arial" w:cs="Arial"/>
          <w:noProof/>
          <w:sz w:val="24"/>
          <w:szCs w:val="24"/>
          <w:lang w:val="en-US" w:eastAsia="pt-BR"/>
        </w:rPr>
        <w:fldChar w:fldCharType="end"/>
      </w:r>
    </w:p>
    <w:p w:rsidR="00C14F85" w:rsidRPr="008B76DC" w:rsidRDefault="00C14F85" w:rsidP="00310C02">
      <w:pPr>
        <w:spacing w:after="0" w:line="480" w:lineRule="auto"/>
        <w:ind w:firstLine="708"/>
        <w:rPr>
          <w:rFonts w:ascii="Arial" w:hAnsi="Arial" w:cs="Arial"/>
          <w:noProof/>
          <w:sz w:val="24"/>
          <w:szCs w:val="24"/>
          <w:lang w:val="en-US" w:eastAsia="pt-BR"/>
        </w:rPr>
      </w:pPr>
      <w:r w:rsidRPr="008B76DC">
        <w:rPr>
          <w:rFonts w:ascii="Arial" w:hAnsi="Arial" w:cs="Arial"/>
          <w:noProof/>
          <w:sz w:val="24"/>
          <w:szCs w:val="24"/>
          <w:lang w:val="en-US" w:eastAsia="pt-BR"/>
        </w:rPr>
        <w:lastRenderedPageBreak/>
        <w:t>Evaluations, both id</w:t>
      </w:r>
      <w:r w:rsidR="002366E4" w:rsidRPr="008B76DC">
        <w:rPr>
          <w:rFonts w:ascii="Arial" w:hAnsi="Arial" w:cs="Arial"/>
          <w:noProof/>
          <w:sz w:val="24"/>
          <w:szCs w:val="24"/>
          <w:lang w:val="en-US" w:eastAsia="pt-BR"/>
        </w:rPr>
        <w:t>entical, were developed from</w:t>
      </w:r>
      <w:r w:rsidRPr="008B76DC">
        <w:rPr>
          <w:rFonts w:ascii="Arial" w:hAnsi="Arial" w:cs="Arial"/>
          <w:noProof/>
          <w:sz w:val="24"/>
          <w:szCs w:val="24"/>
          <w:lang w:val="en-US" w:eastAsia="pt-BR"/>
        </w:rPr>
        <w:t xml:space="preserve"> learning objectives that have been developed for all clinical cases studied over the disciplines, based on Bloom's Taxonomy revised by Anderson and Krathwohl</w:t>
      </w:r>
      <w:r w:rsidR="003F5588" w:rsidRPr="008B76DC">
        <w:rPr>
          <w:rFonts w:ascii="Arial" w:hAnsi="Arial" w:cs="Arial"/>
          <w:noProof/>
          <w:sz w:val="24"/>
          <w:szCs w:val="24"/>
          <w:lang w:val="en-US" w:eastAsia="pt-BR"/>
        </w:rPr>
        <w:t xml:space="preserve"> </w:t>
      </w:r>
      <w:r w:rsidR="00771EBF" w:rsidRPr="008B76DC">
        <w:rPr>
          <w:rFonts w:ascii="Arial" w:hAnsi="Arial" w:cs="Arial"/>
          <w:noProof/>
          <w:sz w:val="24"/>
          <w:szCs w:val="24"/>
          <w:lang w:val="en-US" w:eastAsia="pt-BR"/>
        </w:rPr>
        <w:fldChar w:fldCharType="begin" w:fldLock="1"/>
      </w:r>
      <w:r w:rsidR="003C6A89" w:rsidRPr="008B76DC">
        <w:rPr>
          <w:rFonts w:ascii="Arial" w:hAnsi="Arial" w:cs="Arial"/>
          <w:noProof/>
          <w:sz w:val="24"/>
          <w:szCs w:val="24"/>
          <w:lang w:val="en-US" w:eastAsia="pt-BR"/>
        </w:rPr>
        <w:instrText>ADDIN CSL_CITATION { "citationItems" : [ { "id" : "ITEM-1", "itemData" : { "author" : [ { "dropping-particle" : "", "family" : "ANDERSON, L.W.; KRATHWOHL", "given" : "David R.", "non-dropping-particle" : "", "parse-names" : false, "suffix" : "" } ], "id" : "ITEM-1", "issued" : { "date-parts" : [ [ "2001" ] ] }, "publisher" : "Addison Wesley Longman", "publisher-place" : "New York", "title" : "A taxonomy for learning, teaching and assessing: a revision of Bloom\u2019s Taxonomy of Educational Objectives", "type" : "book" }, "uris" : [ "http://www.mendeley.com/documents/?uuid=00673ddb-146a-43c6-b7cc-6fd89549a196" ] } ], "mendeley" : { "formattedCitation" : "&lt;sup&gt;12&lt;/sup&gt;", "plainTextFormattedCitation" : "12", "previouslyFormattedCitation" : "&lt;sup&gt;12&lt;/sup&gt;" }, "properties" : { "noteIndex" : 0 }, "schema" : "https://github.com/citation-style-language/schema/raw/master/csl-citation.json" }</w:instrText>
      </w:r>
      <w:r w:rsidR="00771EBF" w:rsidRPr="008B76DC">
        <w:rPr>
          <w:rFonts w:ascii="Arial" w:hAnsi="Arial" w:cs="Arial"/>
          <w:noProof/>
          <w:sz w:val="24"/>
          <w:szCs w:val="24"/>
          <w:lang w:val="en-US" w:eastAsia="pt-BR"/>
        </w:rPr>
        <w:fldChar w:fldCharType="separate"/>
      </w:r>
      <w:r w:rsidR="003F5588" w:rsidRPr="008B76DC">
        <w:rPr>
          <w:rFonts w:ascii="Arial" w:hAnsi="Arial" w:cs="Arial"/>
          <w:noProof/>
          <w:sz w:val="24"/>
          <w:szCs w:val="24"/>
          <w:vertAlign w:val="superscript"/>
          <w:lang w:val="en-US" w:eastAsia="pt-BR"/>
        </w:rPr>
        <w:t>12</w:t>
      </w:r>
      <w:r w:rsidR="00771EBF" w:rsidRPr="008B76DC">
        <w:rPr>
          <w:rFonts w:ascii="Arial" w:hAnsi="Arial" w:cs="Arial"/>
          <w:noProof/>
          <w:sz w:val="24"/>
          <w:szCs w:val="24"/>
          <w:lang w:val="en-US" w:eastAsia="pt-BR"/>
        </w:rPr>
        <w:fldChar w:fldCharType="end"/>
      </w:r>
      <w:r w:rsidRPr="008B76DC">
        <w:rPr>
          <w:rFonts w:ascii="Arial" w:hAnsi="Arial" w:cs="Arial"/>
          <w:noProof/>
          <w:sz w:val="24"/>
          <w:szCs w:val="24"/>
          <w:lang w:val="en-US" w:eastAsia="pt-BR"/>
        </w:rPr>
        <w:t>, and according to the levels of the cognitive domain: r</w:t>
      </w:r>
      <w:r w:rsidR="00027340">
        <w:rPr>
          <w:rFonts w:ascii="Arial" w:hAnsi="Arial" w:cs="Arial"/>
          <w:noProof/>
          <w:sz w:val="24"/>
          <w:szCs w:val="24"/>
          <w:lang w:val="en-US" w:eastAsia="pt-BR"/>
        </w:rPr>
        <w:t>emember and understand, apply and analyze</w:t>
      </w:r>
      <w:r w:rsidRPr="008B76DC">
        <w:rPr>
          <w:rFonts w:ascii="Arial" w:hAnsi="Arial" w:cs="Arial"/>
          <w:noProof/>
          <w:sz w:val="24"/>
          <w:szCs w:val="24"/>
          <w:lang w:val="en-US" w:eastAsia="pt-BR"/>
        </w:rPr>
        <w:t>,</w:t>
      </w:r>
      <w:r w:rsidR="00027340">
        <w:rPr>
          <w:rFonts w:ascii="Arial" w:hAnsi="Arial" w:cs="Arial"/>
          <w:noProof/>
          <w:sz w:val="24"/>
          <w:szCs w:val="24"/>
          <w:lang w:val="en-US" w:eastAsia="pt-BR"/>
        </w:rPr>
        <w:t xml:space="preserve"> evaluate and create</w:t>
      </w:r>
      <w:r w:rsidRPr="008B76DC">
        <w:rPr>
          <w:rFonts w:ascii="Arial" w:hAnsi="Arial" w:cs="Arial"/>
          <w:noProof/>
          <w:sz w:val="24"/>
          <w:szCs w:val="24"/>
          <w:lang w:val="en-US" w:eastAsia="pt-BR"/>
        </w:rPr>
        <w:t>.</w:t>
      </w:r>
    </w:p>
    <w:p w:rsidR="00DC2FBC" w:rsidRPr="008B76DC" w:rsidRDefault="005350EA" w:rsidP="00310C02">
      <w:pPr>
        <w:spacing w:after="0" w:line="480" w:lineRule="auto"/>
        <w:ind w:firstLine="708"/>
        <w:rPr>
          <w:rFonts w:ascii="Arial" w:hAnsi="Arial" w:cs="Arial"/>
          <w:noProof/>
          <w:sz w:val="24"/>
          <w:szCs w:val="24"/>
          <w:lang w:val="en-US" w:eastAsia="pt-BR"/>
        </w:rPr>
      </w:pPr>
      <w:r w:rsidRPr="008B76DC">
        <w:rPr>
          <w:rFonts w:ascii="Arial" w:hAnsi="Arial" w:cs="Arial"/>
          <w:noProof/>
          <w:sz w:val="24"/>
          <w:szCs w:val="24"/>
          <w:lang w:val="en-US" w:eastAsia="pt-BR"/>
        </w:rPr>
        <w:t xml:space="preserve">The researcher developed a database of multiple choice questions using appropriate guidelines to ensure the </w:t>
      </w:r>
      <w:r w:rsidR="003C6A89" w:rsidRPr="008B76DC">
        <w:rPr>
          <w:rFonts w:ascii="Arial" w:hAnsi="Arial" w:cs="Arial"/>
          <w:noProof/>
          <w:sz w:val="24"/>
          <w:szCs w:val="24"/>
          <w:lang w:val="en-US" w:eastAsia="pt-BR"/>
        </w:rPr>
        <w:t>validity of the content</w:t>
      </w:r>
      <w:r w:rsidRPr="008B76DC">
        <w:rPr>
          <w:rFonts w:ascii="Arial" w:hAnsi="Arial" w:cs="Arial"/>
          <w:noProof/>
          <w:sz w:val="24"/>
          <w:szCs w:val="24"/>
          <w:lang w:val="en-US" w:eastAsia="pt-BR"/>
        </w:rPr>
        <w:t>.</w:t>
      </w:r>
      <w:r w:rsidR="00771EBF" w:rsidRPr="008B76DC">
        <w:rPr>
          <w:rFonts w:ascii="Arial" w:hAnsi="Arial" w:cs="Arial"/>
          <w:noProof/>
          <w:sz w:val="24"/>
          <w:szCs w:val="24"/>
          <w:lang w:val="en-US" w:eastAsia="pt-BR"/>
        </w:rPr>
        <w:fldChar w:fldCharType="begin" w:fldLock="1"/>
      </w:r>
      <w:r w:rsidR="002B60A0" w:rsidRPr="008B76DC">
        <w:rPr>
          <w:rFonts w:ascii="Arial" w:hAnsi="Arial" w:cs="Arial"/>
          <w:noProof/>
          <w:sz w:val="24"/>
          <w:szCs w:val="24"/>
          <w:lang w:val="en-US" w:eastAsia="pt-BR"/>
        </w:rPr>
        <w:instrText>ADDIN CSL_CITATION { "citationItems" : [ { "id" : "ITEM-1", "itemData" : { "ISBN" : "9782020096409", "PMID" : "12438991", "abstract" : "This manual was written to help faculty members improve the quality of the multiple-choice questions written for their exam- inations. The manual provides an overview of item formats, concentrating on the traditional one-best-answer and matching formats. It reviews issues related to technical item flaws and issues related to item content. The manual also provides basic information to help faculty review statistical indices of item quality after test administration. An overview of standard-set- ting techniques is also provided. Issues related to exam blueprinting are not addressed in any detail. We have focused almost exclusively on the item level, leaving exam level planning for another manuscript. We anticipate that this manual will be useful primarily by faculty who are teaching medical students in basic science cours- es and clinical clerkships. The examples focus on undergraduate medical education, though the general approach to item writing may be useful for assessing examinees at other levels. This manual reflects lessons that we have learned in developing items and tests over the past 20 years. During this period, we have reviewed (quite literally) tens of thousands of multiple-choice questions and have conducted item-writing workshops for thousands of item writers preparing USMLE, NBME, and specialty board examinations as well as faculty at more than 60 medical schools developing test questions for their own examinations. Each workshop attendee has helped us to frame our thoughts regarding how to write better quality test questions, and, over the years, we have become better able (we believe) to articulate the whys and wherefores. We hope this manual helps to communicate these thoughts.", "author" : [ { "dropping-particle" : "", "family" : "Case", "given" : "Susan M", "non-dropping-particle" : "", "parse-names" : false, "suffix" : "" }, { "dropping-particle" : "", "family" : "Swanson", "given" : "David B", "non-dropping-particle" : "", "parse-names" : false, "suffix" : "" } ], "container-title" : "Director", "id" : "ITEM-1", "issue" : "21", "issued" : { "date-parts" : [ [ "2002" ] ] }, "page" : "112", "title" : "Constructing Written Test Questions For the Basic and Clinical Sciences", "type" : "article-journal", "volume" : "27" }, "uris" : [ "http://www.mendeley.com/documents/?uuid=c81492a3-67ae-4855-8bec-c8e4519cca72" ] } ], "mendeley" : { "formattedCitation" : "&lt;sup&gt;16&lt;/sup&gt;", "plainTextFormattedCitation" : "16", "previouslyFormattedCitation" : "&lt;sup&gt;16&lt;/sup&gt;" }, "properties" : { "noteIndex" : 0 }, "schema" : "https://github.com/citation-style-language/schema/raw/master/csl-citation.json" }</w:instrText>
      </w:r>
      <w:r w:rsidR="00771EBF" w:rsidRPr="008B76DC">
        <w:rPr>
          <w:rFonts w:ascii="Arial" w:hAnsi="Arial" w:cs="Arial"/>
          <w:noProof/>
          <w:sz w:val="24"/>
          <w:szCs w:val="24"/>
          <w:lang w:val="en-US" w:eastAsia="pt-BR"/>
        </w:rPr>
        <w:fldChar w:fldCharType="separate"/>
      </w:r>
      <w:r w:rsidR="003C6A89" w:rsidRPr="008B76DC">
        <w:rPr>
          <w:rFonts w:ascii="Arial" w:hAnsi="Arial" w:cs="Arial"/>
          <w:noProof/>
          <w:sz w:val="24"/>
          <w:szCs w:val="24"/>
          <w:vertAlign w:val="superscript"/>
          <w:lang w:val="en-US" w:eastAsia="pt-BR"/>
        </w:rPr>
        <w:t>16</w:t>
      </w:r>
      <w:r w:rsidR="00771EBF" w:rsidRPr="008B76DC">
        <w:rPr>
          <w:rFonts w:ascii="Arial" w:hAnsi="Arial" w:cs="Arial"/>
          <w:noProof/>
          <w:sz w:val="24"/>
          <w:szCs w:val="24"/>
          <w:lang w:val="en-US" w:eastAsia="pt-BR"/>
        </w:rPr>
        <w:fldChar w:fldCharType="end"/>
      </w:r>
      <w:r w:rsidRPr="008B76DC">
        <w:rPr>
          <w:rFonts w:ascii="Arial" w:hAnsi="Arial" w:cs="Arial"/>
          <w:noProof/>
          <w:sz w:val="24"/>
          <w:szCs w:val="24"/>
          <w:lang w:val="en-US" w:eastAsia="pt-BR"/>
        </w:rPr>
        <w:t xml:space="preserve"> </w:t>
      </w:r>
      <w:r w:rsidR="00DC2FBC" w:rsidRPr="008B76DC">
        <w:rPr>
          <w:rFonts w:ascii="Arial" w:hAnsi="Arial" w:cs="Arial"/>
          <w:noProof/>
          <w:sz w:val="24"/>
          <w:szCs w:val="24"/>
          <w:lang w:val="en-US" w:eastAsia="pt-BR"/>
        </w:rPr>
        <w:t>From this question bank</w:t>
      </w:r>
      <w:r w:rsidRPr="008B76DC">
        <w:rPr>
          <w:rFonts w:ascii="Arial" w:hAnsi="Arial" w:cs="Arial"/>
          <w:noProof/>
          <w:sz w:val="24"/>
          <w:szCs w:val="24"/>
          <w:lang w:val="en-US" w:eastAsia="pt-BR"/>
        </w:rPr>
        <w:t>, 30 questions were selected, being 10 of each level.</w:t>
      </w:r>
    </w:p>
    <w:p w:rsidR="00857CF3" w:rsidRPr="008B76DC" w:rsidRDefault="00DC2FBC" w:rsidP="00310C02">
      <w:pPr>
        <w:spacing w:after="0" w:line="480" w:lineRule="auto"/>
        <w:ind w:firstLine="708"/>
        <w:rPr>
          <w:rFonts w:ascii="Arial" w:hAnsi="Arial" w:cs="Arial"/>
          <w:noProof/>
          <w:sz w:val="24"/>
          <w:szCs w:val="24"/>
          <w:lang w:val="en-US" w:eastAsia="pt-BR"/>
        </w:rPr>
      </w:pPr>
      <w:r w:rsidRPr="008B76DC">
        <w:rPr>
          <w:rFonts w:ascii="Arial" w:hAnsi="Arial" w:cs="Arial"/>
          <w:noProof/>
          <w:sz w:val="24"/>
          <w:szCs w:val="24"/>
          <w:lang w:val="en-US" w:eastAsia="pt-BR"/>
        </w:rPr>
        <w:t>This study too</w:t>
      </w:r>
      <w:r w:rsidR="00616081">
        <w:rPr>
          <w:rFonts w:ascii="Arial" w:hAnsi="Arial" w:cs="Arial"/>
          <w:noProof/>
          <w:sz w:val="24"/>
          <w:szCs w:val="24"/>
          <w:lang w:val="en-US" w:eastAsia="pt-BR"/>
        </w:rPr>
        <w:t>k place during the year of 2014.</w:t>
      </w:r>
    </w:p>
    <w:p w:rsidR="005601AA" w:rsidRPr="008B76DC" w:rsidRDefault="005601AA" w:rsidP="00310C02">
      <w:pPr>
        <w:spacing w:after="0" w:line="360" w:lineRule="auto"/>
        <w:rPr>
          <w:rFonts w:ascii="Arial" w:hAnsi="Arial" w:cs="Arial"/>
          <w:sz w:val="24"/>
          <w:szCs w:val="24"/>
          <w:lang w:val="en-US"/>
        </w:rPr>
      </w:pPr>
    </w:p>
    <w:p w:rsidR="00276999" w:rsidRPr="008B76DC" w:rsidRDefault="00913038" w:rsidP="00310C02">
      <w:pPr>
        <w:spacing w:after="0" w:line="360" w:lineRule="auto"/>
        <w:rPr>
          <w:rFonts w:ascii="Arial" w:hAnsi="Arial" w:cs="Arial"/>
          <w:sz w:val="24"/>
          <w:szCs w:val="24"/>
          <w:lang w:val="en-US"/>
        </w:rPr>
      </w:pPr>
      <w:r w:rsidRPr="008B76DC">
        <w:rPr>
          <w:rFonts w:ascii="Arial" w:hAnsi="Arial" w:cs="Arial"/>
          <w:sz w:val="24"/>
          <w:szCs w:val="24"/>
          <w:lang w:val="en-US"/>
        </w:rPr>
        <w:t>2.4</w:t>
      </w:r>
      <w:r w:rsidR="00276999" w:rsidRPr="008B76DC">
        <w:rPr>
          <w:rFonts w:ascii="Arial" w:hAnsi="Arial" w:cs="Arial"/>
          <w:sz w:val="24"/>
          <w:szCs w:val="24"/>
          <w:lang w:val="en-US"/>
        </w:rPr>
        <w:t xml:space="preserve"> </w:t>
      </w:r>
      <w:r w:rsidR="00931F8E" w:rsidRPr="008B76DC">
        <w:rPr>
          <w:rFonts w:ascii="Arial" w:hAnsi="Arial" w:cs="Arial"/>
          <w:sz w:val="24"/>
          <w:szCs w:val="24"/>
          <w:lang w:val="en-US"/>
        </w:rPr>
        <w:t>Ethical principles</w:t>
      </w:r>
    </w:p>
    <w:p w:rsidR="004D7CFF" w:rsidRPr="008B76DC" w:rsidRDefault="004D7CFF" w:rsidP="00310C02">
      <w:pPr>
        <w:spacing w:after="0" w:line="360" w:lineRule="auto"/>
        <w:rPr>
          <w:rFonts w:ascii="Arial" w:hAnsi="Arial" w:cs="Arial"/>
          <w:sz w:val="24"/>
          <w:szCs w:val="24"/>
          <w:lang w:val="en-US"/>
        </w:rPr>
      </w:pPr>
    </w:p>
    <w:p w:rsidR="00965C65" w:rsidRPr="008B76DC" w:rsidRDefault="00965C65" w:rsidP="00310C02">
      <w:pPr>
        <w:spacing w:after="0" w:line="480" w:lineRule="auto"/>
        <w:ind w:firstLine="709"/>
        <w:rPr>
          <w:rFonts w:ascii="Arial" w:hAnsi="Arial" w:cs="Arial"/>
          <w:sz w:val="24"/>
          <w:szCs w:val="24"/>
          <w:lang w:val="en-US"/>
        </w:rPr>
      </w:pPr>
      <w:r w:rsidRPr="008B76DC">
        <w:rPr>
          <w:rFonts w:ascii="Arial" w:hAnsi="Arial" w:cs="Arial"/>
          <w:sz w:val="24"/>
          <w:szCs w:val="24"/>
          <w:lang w:val="en-US"/>
        </w:rPr>
        <w:t>The study was approved on 06/26/2013 by the Research Ethics Committee (CEP) of the Federal University of Paraná, under the number 317.676/2013.</w:t>
      </w:r>
    </w:p>
    <w:p w:rsidR="00F30618" w:rsidRPr="008B76DC" w:rsidRDefault="008564F3" w:rsidP="00310C02">
      <w:pPr>
        <w:spacing w:after="0" w:line="480" w:lineRule="auto"/>
        <w:ind w:firstLine="709"/>
        <w:rPr>
          <w:rFonts w:ascii="Arial" w:hAnsi="Arial" w:cs="Arial"/>
          <w:sz w:val="24"/>
          <w:szCs w:val="24"/>
          <w:lang w:val="en-US"/>
        </w:rPr>
      </w:pPr>
      <w:r w:rsidRPr="008B76DC">
        <w:rPr>
          <w:rFonts w:ascii="Arial" w:hAnsi="Arial" w:cs="Arial"/>
          <w:sz w:val="24"/>
          <w:szCs w:val="24"/>
          <w:lang w:val="en-US"/>
        </w:rPr>
        <w:t>All students agreeing to participate in the study were previously informed about the research goals and signed a Terms of Free and Informed Consent, according to the Resolution 196/96.</w:t>
      </w:r>
    </w:p>
    <w:p w:rsidR="000854CC" w:rsidRPr="008B76DC" w:rsidRDefault="00F30618" w:rsidP="00310C02">
      <w:pPr>
        <w:spacing w:after="0" w:line="480" w:lineRule="auto"/>
        <w:ind w:firstLine="709"/>
        <w:rPr>
          <w:rFonts w:ascii="Arial" w:hAnsi="Arial" w:cs="Arial"/>
          <w:sz w:val="24"/>
          <w:szCs w:val="24"/>
          <w:lang w:val="en-US"/>
        </w:rPr>
      </w:pPr>
      <w:r w:rsidRPr="008B76DC">
        <w:rPr>
          <w:rFonts w:ascii="Arial" w:hAnsi="Arial" w:cs="Arial"/>
          <w:sz w:val="24"/>
          <w:szCs w:val="24"/>
          <w:lang w:val="en-US"/>
        </w:rPr>
        <w:t xml:space="preserve">It was assured that they would not be jeopardized in the </w:t>
      </w:r>
      <w:r w:rsidR="00014FB0" w:rsidRPr="008B76DC">
        <w:rPr>
          <w:rFonts w:ascii="Arial" w:hAnsi="Arial" w:cs="Arial"/>
          <w:sz w:val="24"/>
          <w:szCs w:val="24"/>
          <w:lang w:val="en-US"/>
        </w:rPr>
        <w:t xml:space="preserve">disciplines </w:t>
      </w:r>
      <w:r w:rsidRPr="008B76DC">
        <w:rPr>
          <w:rFonts w:ascii="Arial" w:hAnsi="Arial" w:cs="Arial"/>
          <w:sz w:val="24"/>
          <w:szCs w:val="24"/>
          <w:lang w:val="en-US"/>
        </w:rPr>
        <w:t>assessments with th</w:t>
      </w:r>
      <w:r w:rsidR="00014FB0" w:rsidRPr="008B76DC">
        <w:rPr>
          <w:rFonts w:ascii="Arial" w:hAnsi="Arial" w:cs="Arial"/>
          <w:sz w:val="24"/>
          <w:szCs w:val="24"/>
          <w:lang w:val="en-US"/>
        </w:rPr>
        <w:t>eir refusal to participate. I</w:t>
      </w:r>
      <w:r w:rsidRPr="008B76DC">
        <w:rPr>
          <w:rFonts w:ascii="Arial" w:hAnsi="Arial" w:cs="Arial"/>
          <w:sz w:val="24"/>
          <w:szCs w:val="24"/>
          <w:lang w:val="en-US"/>
        </w:rPr>
        <w:t>nformation collected was used exclusively in resear</w:t>
      </w:r>
      <w:r w:rsidR="00014FB0" w:rsidRPr="008B76DC">
        <w:rPr>
          <w:rFonts w:ascii="Arial" w:hAnsi="Arial" w:cs="Arial"/>
          <w:sz w:val="24"/>
          <w:szCs w:val="24"/>
          <w:lang w:val="en-US"/>
        </w:rPr>
        <w:t>ch with academic purpose and</w:t>
      </w:r>
      <w:r w:rsidRPr="008B76DC">
        <w:rPr>
          <w:rFonts w:ascii="Arial" w:hAnsi="Arial" w:cs="Arial"/>
          <w:sz w:val="24"/>
          <w:szCs w:val="24"/>
          <w:lang w:val="en-US"/>
        </w:rPr>
        <w:t xml:space="preserve"> confidentia</w:t>
      </w:r>
      <w:r w:rsidR="00014FB0" w:rsidRPr="008B76DC">
        <w:rPr>
          <w:rFonts w:ascii="Arial" w:hAnsi="Arial" w:cs="Arial"/>
          <w:sz w:val="24"/>
          <w:szCs w:val="24"/>
          <w:lang w:val="en-US"/>
        </w:rPr>
        <w:t>lity</w:t>
      </w:r>
      <w:r w:rsidRPr="008B76DC">
        <w:rPr>
          <w:rFonts w:ascii="Arial" w:hAnsi="Arial" w:cs="Arial"/>
          <w:sz w:val="24"/>
          <w:szCs w:val="24"/>
          <w:lang w:val="en-US"/>
        </w:rPr>
        <w:t xml:space="preserve"> was guaranteed.</w:t>
      </w:r>
    </w:p>
    <w:p w:rsidR="00F33F31" w:rsidRPr="008B76DC" w:rsidRDefault="00F33F31" w:rsidP="00310C02">
      <w:pPr>
        <w:spacing w:after="0" w:line="360" w:lineRule="auto"/>
        <w:rPr>
          <w:rFonts w:ascii="Arial" w:hAnsi="Arial" w:cs="Arial"/>
          <w:sz w:val="24"/>
          <w:szCs w:val="24"/>
          <w:lang w:val="en-US"/>
        </w:rPr>
      </w:pPr>
    </w:p>
    <w:p w:rsidR="00DB53F5" w:rsidRPr="008B76DC" w:rsidRDefault="00913038" w:rsidP="00310C02">
      <w:pPr>
        <w:spacing w:after="0" w:line="360" w:lineRule="auto"/>
        <w:rPr>
          <w:rFonts w:ascii="Arial" w:hAnsi="Arial" w:cs="Arial"/>
          <w:sz w:val="24"/>
          <w:szCs w:val="24"/>
          <w:lang w:val="en-US"/>
        </w:rPr>
      </w:pPr>
      <w:r w:rsidRPr="008B76DC">
        <w:rPr>
          <w:rFonts w:ascii="Arial" w:hAnsi="Arial" w:cs="Arial"/>
          <w:sz w:val="24"/>
          <w:szCs w:val="24"/>
          <w:lang w:val="en-US"/>
        </w:rPr>
        <w:t>2.5</w:t>
      </w:r>
      <w:r w:rsidR="004F6839" w:rsidRPr="008B76DC">
        <w:rPr>
          <w:rFonts w:ascii="Arial" w:hAnsi="Arial" w:cs="Arial"/>
          <w:sz w:val="24"/>
          <w:szCs w:val="24"/>
          <w:lang w:val="en-US"/>
        </w:rPr>
        <w:t xml:space="preserve"> </w:t>
      </w:r>
      <w:r w:rsidR="00D61E67" w:rsidRPr="008B76DC">
        <w:rPr>
          <w:rFonts w:ascii="Arial" w:hAnsi="Arial" w:cs="Arial"/>
          <w:sz w:val="24"/>
          <w:szCs w:val="24"/>
          <w:lang w:val="en-US"/>
        </w:rPr>
        <w:t>Data analysis</w:t>
      </w:r>
    </w:p>
    <w:p w:rsidR="005601AA" w:rsidRPr="008B76DC" w:rsidRDefault="005601AA" w:rsidP="00310C02">
      <w:pPr>
        <w:spacing w:after="0" w:line="360" w:lineRule="auto"/>
        <w:rPr>
          <w:rFonts w:ascii="Arial" w:hAnsi="Arial" w:cs="Arial"/>
          <w:sz w:val="24"/>
          <w:szCs w:val="24"/>
          <w:lang w:val="en-US"/>
        </w:rPr>
      </w:pPr>
    </w:p>
    <w:p w:rsidR="00DA4C92" w:rsidRPr="008B76DC" w:rsidRDefault="00DA4C92"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The statistical treatment used in the variables was descriptive and inferential.</w:t>
      </w:r>
    </w:p>
    <w:p w:rsidR="00FB56F1" w:rsidRPr="008B76DC" w:rsidRDefault="00DA4C92"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The data related to</w:t>
      </w:r>
      <w:r w:rsidR="00B8103B" w:rsidRPr="008B76DC">
        <w:rPr>
          <w:rFonts w:ascii="Arial" w:hAnsi="Arial" w:cs="Arial"/>
          <w:sz w:val="24"/>
          <w:szCs w:val="24"/>
          <w:lang w:val="en-US"/>
        </w:rPr>
        <w:t xml:space="preserve"> students' performance on tests </w:t>
      </w:r>
      <w:r w:rsidRPr="008B76DC">
        <w:rPr>
          <w:rFonts w:ascii="Arial" w:hAnsi="Arial" w:cs="Arial"/>
          <w:sz w:val="24"/>
          <w:szCs w:val="24"/>
          <w:lang w:val="en-US"/>
        </w:rPr>
        <w:t>are presented using mea</w:t>
      </w:r>
      <w:r w:rsidR="00FE4073" w:rsidRPr="008B76DC">
        <w:rPr>
          <w:rFonts w:ascii="Arial" w:hAnsi="Arial" w:cs="Arial"/>
          <w:sz w:val="24"/>
          <w:szCs w:val="24"/>
          <w:lang w:val="en-US"/>
        </w:rPr>
        <w:t>n,</w:t>
      </w:r>
      <w:r w:rsidRPr="008B76DC">
        <w:rPr>
          <w:rFonts w:ascii="Arial" w:hAnsi="Arial" w:cs="Arial"/>
          <w:sz w:val="24"/>
          <w:szCs w:val="24"/>
          <w:lang w:val="en-US"/>
        </w:rPr>
        <w:t xml:space="preserve"> standard deviation (SD),</w:t>
      </w:r>
      <w:r w:rsidR="00072A7F" w:rsidRPr="008B76DC">
        <w:rPr>
          <w:rFonts w:ascii="Arial" w:hAnsi="Arial" w:cs="Arial"/>
          <w:sz w:val="24"/>
          <w:szCs w:val="24"/>
          <w:lang w:val="en-US"/>
        </w:rPr>
        <w:t xml:space="preserve"> differences (delta) between</w:t>
      </w:r>
      <w:r w:rsidRPr="008B76DC">
        <w:rPr>
          <w:rFonts w:ascii="Arial" w:hAnsi="Arial" w:cs="Arial"/>
          <w:sz w:val="24"/>
          <w:szCs w:val="24"/>
          <w:lang w:val="en-US"/>
        </w:rPr>
        <w:t xml:space="preserve"> pre and post-tests, and paired student's T-test to assess the significance of the results.</w:t>
      </w:r>
    </w:p>
    <w:p w:rsidR="009C3BBB" w:rsidRPr="008B76DC" w:rsidRDefault="00FB56F1"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lastRenderedPageBreak/>
        <w:t xml:space="preserve">The </w:t>
      </w:r>
      <w:r w:rsidR="00072A7F" w:rsidRPr="008B76DC">
        <w:rPr>
          <w:rFonts w:ascii="Arial" w:hAnsi="Arial" w:cs="Arial"/>
          <w:sz w:val="24"/>
          <w:szCs w:val="24"/>
          <w:lang w:val="en-US"/>
        </w:rPr>
        <w:t xml:space="preserve">database </w:t>
      </w:r>
      <w:r w:rsidRPr="008B76DC">
        <w:rPr>
          <w:rFonts w:ascii="Arial" w:hAnsi="Arial" w:cs="Arial"/>
          <w:sz w:val="24"/>
          <w:szCs w:val="24"/>
          <w:lang w:val="en-US"/>
        </w:rPr>
        <w:t xml:space="preserve">organization and statistical analysis were performed </w:t>
      </w:r>
      <w:r w:rsidR="0071683B" w:rsidRPr="008B76DC">
        <w:rPr>
          <w:rFonts w:ascii="Arial" w:hAnsi="Arial" w:cs="Arial"/>
          <w:sz w:val="24"/>
          <w:szCs w:val="24"/>
          <w:lang w:val="en-US"/>
        </w:rPr>
        <w:t>using Microsoft</w:t>
      </w:r>
      <w:r w:rsidRPr="008B76DC">
        <w:rPr>
          <w:rFonts w:ascii="Arial" w:hAnsi="Arial" w:cs="Arial"/>
          <w:sz w:val="24"/>
          <w:szCs w:val="24"/>
          <w:lang w:val="en-US"/>
        </w:rPr>
        <w:t xml:space="preserve"> Excel® 2013 and SPSS® 20.0 for Windows</w:t>
      </w:r>
      <w:r w:rsidR="0071683B" w:rsidRPr="008B76DC">
        <w:rPr>
          <w:rFonts w:ascii="Arial" w:hAnsi="Arial" w:cs="Arial"/>
          <w:sz w:val="24"/>
          <w:szCs w:val="24"/>
          <w:lang w:val="en-US"/>
        </w:rPr>
        <w:t>, respectively</w:t>
      </w:r>
      <w:r w:rsidRPr="008B76DC">
        <w:rPr>
          <w:rFonts w:ascii="Arial" w:hAnsi="Arial" w:cs="Arial"/>
          <w:sz w:val="24"/>
          <w:szCs w:val="24"/>
          <w:lang w:val="en-US"/>
        </w:rPr>
        <w:t>. It was considered statistically significant when p&lt;0.05.</w:t>
      </w:r>
    </w:p>
    <w:p w:rsidR="00616081" w:rsidRPr="008B76DC" w:rsidRDefault="00616081" w:rsidP="00310C02">
      <w:pPr>
        <w:spacing w:after="0" w:line="360" w:lineRule="auto"/>
        <w:rPr>
          <w:rFonts w:ascii="Arial" w:hAnsi="Arial" w:cs="Arial"/>
          <w:sz w:val="24"/>
          <w:szCs w:val="24"/>
          <w:lang w:val="en-US"/>
        </w:rPr>
      </w:pPr>
    </w:p>
    <w:p w:rsidR="00AE3449" w:rsidRPr="008B76DC" w:rsidRDefault="00613937" w:rsidP="00310C02">
      <w:pPr>
        <w:spacing w:after="0" w:line="360" w:lineRule="auto"/>
        <w:rPr>
          <w:rFonts w:ascii="Arial" w:hAnsi="Arial" w:cs="Arial"/>
          <w:b/>
          <w:sz w:val="24"/>
          <w:szCs w:val="24"/>
          <w:lang w:val="en-US"/>
        </w:rPr>
      </w:pPr>
      <w:r w:rsidRPr="008B76DC">
        <w:rPr>
          <w:rFonts w:ascii="Arial" w:hAnsi="Arial" w:cs="Arial"/>
          <w:b/>
          <w:sz w:val="24"/>
          <w:szCs w:val="24"/>
          <w:lang w:val="en-US"/>
        </w:rPr>
        <w:t>3</w:t>
      </w:r>
      <w:r w:rsidR="00682B8A" w:rsidRPr="008B76DC">
        <w:rPr>
          <w:rFonts w:ascii="Arial" w:hAnsi="Arial" w:cs="Arial"/>
          <w:b/>
          <w:sz w:val="24"/>
          <w:szCs w:val="24"/>
          <w:lang w:val="en-US"/>
        </w:rPr>
        <w:t xml:space="preserve">. </w:t>
      </w:r>
      <w:r w:rsidR="00145700" w:rsidRPr="00145700">
        <w:rPr>
          <w:rFonts w:ascii="Arial" w:hAnsi="Arial" w:cs="Arial"/>
          <w:b/>
          <w:sz w:val="24"/>
          <w:szCs w:val="24"/>
          <w:lang w:val="en-US"/>
        </w:rPr>
        <w:t>FINDINGS</w:t>
      </w:r>
    </w:p>
    <w:p w:rsidR="005601AA" w:rsidRPr="008B76DC" w:rsidRDefault="005601AA" w:rsidP="00310C02">
      <w:pPr>
        <w:tabs>
          <w:tab w:val="left" w:pos="3260"/>
        </w:tabs>
        <w:spacing w:after="0" w:line="360" w:lineRule="auto"/>
        <w:rPr>
          <w:rFonts w:ascii="Arial" w:hAnsi="Arial" w:cs="Arial"/>
          <w:b/>
          <w:sz w:val="24"/>
          <w:szCs w:val="24"/>
          <w:lang w:val="en-US"/>
        </w:rPr>
      </w:pPr>
    </w:p>
    <w:p w:rsidR="002A5E47" w:rsidRPr="008B76DC" w:rsidRDefault="002A5E47" w:rsidP="00310C02">
      <w:pPr>
        <w:tabs>
          <w:tab w:val="left" w:pos="3260"/>
        </w:tabs>
        <w:spacing w:after="0" w:line="480" w:lineRule="auto"/>
        <w:ind w:firstLine="709"/>
        <w:rPr>
          <w:rFonts w:ascii="Arial" w:hAnsi="Arial" w:cs="Arial"/>
          <w:sz w:val="24"/>
          <w:szCs w:val="24"/>
          <w:lang w:val="en-US"/>
        </w:rPr>
      </w:pPr>
      <w:r w:rsidRPr="008B76DC">
        <w:rPr>
          <w:rFonts w:ascii="Arial" w:hAnsi="Arial" w:cs="Arial"/>
          <w:sz w:val="24"/>
          <w:szCs w:val="24"/>
          <w:lang w:val="en-US"/>
        </w:rPr>
        <w:t>Th</w:t>
      </w:r>
      <w:r w:rsidR="001736D0" w:rsidRPr="008B76DC">
        <w:rPr>
          <w:rFonts w:ascii="Arial" w:hAnsi="Arial" w:cs="Arial"/>
          <w:sz w:val="24"/>
          <w:szCs w:val="24"/>
          <w:lang w:val="en-US"/>
        </w:rPr>
        <w:t>is</w:t>
      </w:r>
      <w:r w:rsidRPr="008B76DC">
        <w:rPr>
          <w:rFonts w:ascii="Arial" w:hAnsi="Arial" w:cs="Arial"/>
          <w:sz w:val="24"/>
          <w:szCs w:val="24"/>
          <w:lang w:val="en-US"/>
        </w:rPr>
        <w:t xml:space="preserve"> study included 133 students, being 82 of Pharmaceutical Care I and 51 students of Pharmaceutical Care II.</w:t>
      </w:r>
    </w:p>
    <w:p w:rsidR="006C0A12" w:rsidRPr="008B76DC" w:rsidRDefault="00EA38F4" w:rsidP="00310C02">
      <w:pPr>
        <w:tabs>
          <w:tab w:val="left" w:pos="3260"/>
        </w:tabs>
        <w:spacing w:after="0" w:line="480" w:lineRule="auto"/>
        <w:ind w:firstLine="709"/>
        <w:rPr>
          <w:rFonts w:ascii="Arial" w:hAnsi="Arial" w:cs="Arial"/>
          <w:sz w:val="24"/>
          <w:szCs w:val="24"/>
          <w:lang w:val="en-US"/>
        </w:rPr>
      </w:pPr>
      <w:r w:rsidRPr="008B76DC">
        <w:rPr>
          <w:rFonts w:ascii="Arial" w:hAnsi="Arial" w:cs="Arial"/>
          <w:sz w:val="24"/>
          <w:szCs w:val="24"/>
          <w:lang w:val="en-US"/>
        </w:rPr>
        <w:t>Regarding</w:t>
      </w:r>
      <w:r w:rsidR="00A26795" w:rsidRPr="008B76DC">
        <w:rPr>
          <w:rFonts w:ascii="Arial" w:hAnsi="Arial" w:cs="Arial"/>
          <w:sz w:val="24"/>
          <w:szCs w:val="24"/>
          <w:lang w:val="en-US"/>
        </w:rPr>
        <w:t xml:space="preserve"> students' performance in acquiring knowledge after using blended learning throughout the disciplines, we obtained the following results: for Pharmaceutical Care I, as shown in TABLE 1, changes were observed in pre-test and ge</w:t>
      </w:r>
      <w:r w:rsidR="005218C4" w:rsidRPr="008B76DC">
        <w:rPr>
          <w:rFonts w:ascii="Arial" w:hAnsi="Arial" w:cs="Arial"/>
          <w:sz w:val="24"/>
          <w:szCs w:val="24"/>
          <w:lang w:val="en-US"/>
        </w:rPr>
        <w:t>neral post-test</w:t>
      </w:r>
      <w:r w:rsidR="00645112" w:rsidRPr="008B76DC">
        <w:rPr>
          <w:rFonts w:ascii="Arial" w:hAnsi="Arial" w:cs="Arial"/>
          <w:sz w:val="24"/>
          <w:szCs w:val="24"/>
          <w:lang w:val="en-US"/>
        </w:rPr>
        <w:t xml:space="preserve"> scores</w:t>
      </w:r>
      <w:r w:rsidR="005218C4" w:rsidRPr="008B76DC">
        <w:rPr>
          <w:rFonts w:ascii="Arial" w:hAnsi="Arial" w:cs="Arial"/>
          <w:sz w:val="24"/>
          <w:szCs w:val="24"/>
          <w:lang w:val="en-US"/>
        </w:rPr>
        <w:t xml:space="preserve"> - an increase in</w:t>
      </w:r>
      <w:r w:rsidR="00A26795" w:rsidRPr="008B76DC">
        <w:rPr>
          <w:rFonts w:ascii="Arial" w:hAnsi="Arial" w:cs="Arial"/>
          <w:sz w:val="24"/>
          <w:szCs w:val="24"/>
          <w:lang w:val="en-US"/>
        </w:rPr>
        <w:t xml:space="preserve"> the </w:t>
      </w:r>
      <w:r w:rsidR="00673179" w:rsidRPr="008B76DC">
        <w:rPr>
          <w:rFonts w:ascii="Arial" w:hAnsi="Arial" w:cs="Arial"/>
          <w:sz w:val="24"/>
          <w:szCs w:val="24"/>
          <w:lang w:val="en-US"/>
        </w:rPr>
        <w:t>mean</w:t>
      </w:r>
      <w:r w:rsidR="00A26795" w:rsidRPr="008B76DC">
        <w:rPr>
          <w:rFonts w:ascii="Arial" w:hAnsi="Arial" w:cs="Arial"/>
          <w:sz w:val="24"/>
          <w:szCs w:val="24"/>
          <w:lang w:val="en-US"/>
        </w:rPr>
        <w:t xml:space="preserve"> betw</w:t>
      </w:r>
      <w:r w:rsidR="00116B7E" w:rsidRPr="008B76DC">
        <w:rPr>
          <w:rFonts w:ascii="Arial" w:hAnsi="Arial" w:cs="Arial"/>
          <w:sz w:val="24"/>
          <w:szCs w:val="24"/>
          <w:lang w:val="en-US"/>
        </w:rPr>
        <w:t>een the tests (from 4.8 to 6.3)</w:t>
      </w:r>
      <w:r w:rsidR="00A26795" w:rsidRPr="008B76DC">
        <w:rPr>
          <w:rFonts w:ascii="Arial" w:hAnsi="Arial" w:cs="Arial"/>
          <w:sz w:val="24"/>
          <w:szCs w:val="24"/>
          <w:lang w:val="en-US"/>
        </w:rPr>
        <w:t xml:space="preserve">, with a variation of 30.2%, characterizing a statistically significant </w:t>
      </w:r>
      <w:r w:rsidRPr="008B76DC">
        <w:rPr>
          <w:rFonts w:ascii="Arial" w:hAnsi="Arial" w:cs="Arial"/>
          <w:sz w:val="24"/>
          <w:szCs w:val="24"/>
          <w:lang w:val="en-US"/>
        </w:rPr>
        <w:t xml:space="preserve">difference </w:t>
      </w:r>
      <w:r w:rsidR="00A26795" w:rsidRPr="008B76DC">
        <w:rPr>
          <w:rFonts w:ascii="Arial" w:hAnsi="Arial" w:cs="Arial"/>
          <w:sz w:val="24"/>
          <w:szCs w:val="24"/>
          <w:lang w:val="en-US"/>
        </w:rPr>
        <w:t>(p&lt;0.05).</w:t>
      </w:r>
    </w:p>
    <w:p w:rsidR="006C0A12" w:rsidRPr="008B76DC" w:rsidRDefault="00C034B6" w:rsidP="00310C02">
      <w:pPr>
        <w:tabs>
          <w:tab w:val="left" w:pos="3260"/>
        </w:tabs>
        <w:spacing w:after="0" w:line="480" w:lineRule="auto"/>
        <w:ind w:firstLine="709"/>
        <w:rPr>
          <w:rFonts w:ascii="Arial" w:hAnsi="Arial" w:cs="Arial"/>
          <w:sz w:val="24"/>
          <w:szCs w:val="24"/>
          <w:lang w:val="en-US"/>
        </w:rPr>
      </w:pPr>
      <w:r w:rsidRPr="008B76DC">
        <w:rPr>
          <w:rFonts w:ascii="Arial" w:hAnsi="Arial" w:cs="Arial"/>
          <w:sz w:val="24"/>
          <w:szCs w:val="24"/>
          <w:lang w:val="en-US"/>
        </w:rPr>
        <w:t>As previously described in the methodology section, the test consisted of 30</w:t>
      </w:r>
      <w:r w:rsidR="00116B7E" w:rsidRPr="008B76DC">
        <w:rPr>
          <w:rFonts w:ascii="Arial" w:hAnsi="Arial" w:cs="Arial"/>
          <w:sz w:val="24"/>
          <w:szCs w:val="24"/>
          <w:lang w:val="en-US"/>
        </w:rPr>
        <w:t xml:space="preserve"> questions, being 10</w:t>
      </w:r>
      <w:r w:rsidRPr="008B76DC">
        <w:rPr>
          <w:rFonts w:ascii="Arial" w:hAnsi="Arial" w:cs="Arial"/>
          <w:sz w:val="24"/>
          <w:szCs w:val="24"/>
          <w:lang w:val="en-US"/>
        </w:rPr>
        <w:t xml:space="preserve"> of each level</w:t>
      </w:r>
      <w:r w:rsidR="00027340">
        <w:rPr>
          <w:rFonts w:ascii="Arial" w:hAnsi="Arial" w:cs="Arial"/>
          <w:sz w:val="24"/>
          <w:szCs w:val="24"/>
          <w:lang w:val="en-US"/>
        </w:rPr>
        <w:t xml:space="preserve"> of Bloom's Taxonomy - remember and understand; apply and analyze and evaluate and create</w:t>
      </w:r>
      <w:r w:rsidRPr="008B76DC">
        <w:rPr>
          <w:rFonts w:ascii="Arial" w:hAnsi="Arial" w:cs="Arial"/>
          <w:sz w:val="24"/>
          <w:szCs w:val="24"/>
          <w:lang w:val="en-US"/>
        </w:rPr>
        <w:t>.</w:t>
      </w:r>
      <w:r w:rsidR="006C0A12" w:rsidRPr="008B76DC">
        <w:rPr>
          <w:rFonts w:ascii="Arial" w:hAnsi="Arial" w:cs="Arial"/>
          <w:sz w:val="24"/>
          <w:szCs w:val="24"/>
          <w:lang w:val="en-US"/>
        </w:rPr>
        <w:t xml:space="preserve"> </w:t>
      </w:r>
      <w:r w:rsidR="00BC6A35" w:rsidRPr="008B76DC">
        <w:rPr>
          <w:rFonts w:ascii="Arial" w:hAnsi="Arial" w:cs="Arial"/>
          <w:sz w:val="24"/>
          <w:szCs w:val="24"/>
          <w:lang w:val="en-US"/>
        </w:rPr>
        <w:t>By analyzing</w:t>
      </w:r>
      <w:r w:rsidR="00116B7E" w:rsidRPr="008B76DC">
        <w:rPr>
          <w:rFonts w:ascii="Arial" w:hAnsi="Arial" w:cs="Arial"/>
          <w:sz w:val="24"/>
          <w:szCs w:val="24"/>
          <w:lang w:val="en-US"/>
        </w:rPr>
        <w:t xml:space="preserve"> scores obtained in the diagnostic (pre) and summative (post) tests in Pharmaceutical Care I considering the three levels of Bloom's Taxonomy, it was obse</w:t>
      </w:r>
      <w:r w:rsidR="002A52B8" w:rsidRPr="008B76DC">
        <w:rPr>
          <w:rFonts w:ascii="Arial" w:hAnsi="Arial" w:cs="Arial"/>
          <w:sz w:val="24"/>
          <w:szCs w:val="24"/>
          <w:lang w:val="en-US"/>
        </w:rPr>
        <w:t>rved an increase in</w:t>
      </w:r>
      <w:r w:rsidR="00BC6A35" w:rsidRPr="008B76DC">
        <w:rPr>
          <w:rFonts w:ascii="Arial" w:hAnsi="Arial" w:cs="Arial"/>
          <w:sz w:val="24"/>
          <w:szCs w:val="24"/>
          <w:lang w:val="en-US"/>
        </w:rPr>
        <w:t xml:space="preserve"> </w:t>
      </w:r>
      <w:r w:rsidR="00116B7E" w:rsidRPr="008B76DC">
        <w:rPr>
          <w:rFonts w:ascii="Arial" w:hAnsi="Arial" w:cs="Arial"/>
          <w:sz w:val="24"/>
          <w:szCs w:val="24"/>
          <w:lang w:val="en-US"/>
        </w:rPr>
        <w:t>percentage change - at the level I (29.8%), level II (21.2%), and at the level III</w:t>
      </w:r>
      <w:r w:rsidR="00E30ECC" w:rsidRPr="008B76DC">
        <w:rPr>
          <w:rFonts w:ascii="Arial" w:hAnsi="Arial" w:cs="Arial"/>
          <w:sz w:val="24"/>
          <w:szCs w:val="24"/>
          <w:lang w:val="en-US"/>
        </w:rPr>
        <w:t xml:space="preserve"> (37.2%), with p &lt;0.05</w:t>
      </w:r>
      <w:r w:rsidR="00116B7E" w:rsidRPr="008B76DC">
        <w:rPr>
          <w:rFonts w:ascii="Arial" w:hAnsi="Arial" w:cs="Arial"/>
          <w:sz w:val="24"/>
          <w:szCs w:val="24"/>
          <w:lang w:val="en-US"/>
        </w:rPr>
        <w:t>, also characterizing a statistically significant difference in each taxonomic level (TABLE 1).</w:t>
      </w:r>
    </w:p>
    <w:p w:rsidR="009B3E06" w:rsidRPr="008B76DC" w:rsidRDefault="008E02A7" w:rsidP="00310C02">
      <w:pPr>
        <w:tabs>
          <w:tab w:val="left" w:pos="3260"/>
        </w:tabs>
        <w:spacing w:after="0" w:line="480" w:lineRule="auto"/>
        <w:ind w:firstLine="709"/>
        <w:rPr>
          <w:rFonts w:ascii="Arial" w:hAnsi="Arial" w:cs="Arial"/>
          <w:sz w:val="24"/>
          <w:szCs w:val="24"/>
          <w:lang w:val="en-US"/>
        </w:rPr>
      </w:pPr>
      <w:r w:rsidRPr="008B76DC">
        <w:rPr>
          <w:rFonts w:ascii="Arial" w:hAnsi="Arial" w:cs="Arial"/>
          <w:sz w:val="24"/>
          <w:szCs w:val="24"/>
          <w:lang w:val="en-US"/>
        </w:rPr>
        <w:t>For Pharmaceutical Care II, as shown in TABLE 2, changes were observed in pre-test and general post-test scores - an increase in</w:t>
      </w:r>
      <w:r w:rsidR="00FE4073" w:rsidRPr="008B76DC">
        <w:rPr>
          <w:rFonts w:ascii="Arial" w:hAnsi="Arial" w:cs="Arial"/>
          <w:sz w:val="24"/>
          <w:szCs w:val="24"/>
          <w:lang w:val="en-US"/>
        </w:rPr>
        <w:t xml:space="preserve"> the mean</w:t>
      </w:r>
      <w:r w:rsidRPr="008B76DC">
        <w:rPr>
          <w:rFonts w:ascii="Arial" w:hAnsi="Arial" w:cs="Arial"/>
          <w:sz w:val="24"/>
          <w:szCs w:val="24"/>
          <w:lang w:val="en-US"/>
        </w:rPr>
        <w:t xml:space="preserve"> between the tests (from 4.1 to </w:t>
      </w:r>
      <w:r w:rsidR="00E30ECC" w:rsidRPr="008B76DC">
        <w:rPr>
          <w:rFonts w:ascii="Arial" w:hAnsi="Arial" w:cs="Arial"/>
          <w:sz w:val="24"/>
          <w:szCs w:val="24"/>
          <w:lang w:val="en-US"/>
        </w:rPr>
        <w:t>5.5), with a variation of 34.1%</w:t>
      </w:r>
      <w:r w:rsidRPr="008B76DC">
        <w:rPr>
          <w:rFonts w:ascii="Arial" w:hAnsi="Arial" w:cs="Arial"/>
          <w:sz w:val="24"/>
          <w:szCs w:val="24"/>
          <w:lang w:val="en-US"/>
        </w:rPr>
        <w:t>, also characterizing a statistically significant difference (p&lt;0.05).</w:t>
      </w:r>
    </w:p>
    <w:p w:rsidR="001B684C" w:rsidRPr="008B76DC" w:rsidRDefault="00CB336F" w:rsidP="00310C02">
      <w:pPr>
        <w:tabs>
          <w:tab w:val="left" w:pos="3260"/>
        </w:tabs>
        <w:spacing w:after="0" w:line="480" w:lineRule="auto"/>
        <w:ind w:firstLine="709"/>
        <w:rPr>
          <w:rFonts w:ascii="Arial" w:hAnsi="Arial" w:cs="Arial"/>
          <w:sz w:val="24"/>
          <w:szCs w:val="24"/>
          <w:lang w:val="en-US"/>
        </w:rPr>
      </w:pPr>
      <w:r w:rsidRPr="008B76DC">
        <w:rPr>
          <w:rFonts w:ascii="Arial" w:hAnsi="Arial" w:cs="Arial"/>
          <w:sz w:val="24"/>
          <w:szCs w:val="24"/>
          <w:lang w:val="en-US"/>
        </w:rPr>
        <w:lastRenderedPageBreak/>
        <w:t>By analyzing the scores obtained in the diagnostic (pre) and summative (post) tests in Pharmaceutical Care II</w:t>
      </w:r>
      <w:r w:rsidR="002A52B8" w:rsidRPr="008B76DC">
        <w:rPr>
          <w:rFonts w:ascii="Arial" w:hAnsi="Arial" w:cs="Arial"/>
          <w:sz w:val="24"/>
          <w:szCs w:val="24"/>
          <w:lang w:val="en-US"/>
        </w:rPr>
        <w:t>,</w:t>
      </w:r>
      <w:r w:rsidRPr="008B76DC">
        <w:rPr>
          <w:rFonts w:ascii="Arial" w:hAnsi="Arial" w:cs="Arial"/>
          <w:sz w:val="24"/>
          <w:szCs w:val="24"/>
          <w:lang w:val="en-US"/>
        </w:rPr>
        <w:t xml:space="preserve"> considering the three levels of Bloom's Taxonomy, it was ob</w:t>
      </w:r>
      <w:r w:rsidR="00520AEF" w:rsidRPr="008B76DC">
        <w:rPr>
          <w:rFonts w:ascii="Arial" w:hAnsi="Arial" w:cs="Arial"/>
          <w:sz w:val="24"/>
          <w:szCs w:val="24"/>
          <w:lang w:val="en-US"/>
        </w:rPr>
        <w:t xml:space="preserve">served an </w:t>
      </w:r>
      <w:r w:rsidR="002A52B8" w:rsidRPr="008B76DC">
        <w:rPr>
          <w:rFonts w:ascii="Arial" w:hAnsi="Arial" w:cs="Arial"/>
          <w:sz w:val="24"/>
          <w:szCs w:val="24"/>
          <w:lang w:val="en-US"/>
        </w:rPr>
        <w:t>increase in</w:t>
      </w:r>
      <w:r w:rsidR="00520AEF" w:rsidRPr="008B76DC">
        <w:rPr>
          <w:rFonts w:ascii="Arial" w:hAnsi="Arial" w:cs="Arial"/>
          <w:sz w:val="24"/>
          <w:szCs w:val="24"/>
          <w:lang w:val="en-US"/>
        </w:rPr>
        <w:t xml:space="preserve"> p</w:t>
      </w:r>
      <w:r w:rsidRPr="008B76DC">
        <w:rPr>
          <w:rFonts w:ascii="Arial" w:hAnsi="Arial" w:cs="Arial"/>
          <w:sz w:val="24"/>
          <w:szCs w:val="24"/>
          <w:lang w:val="en-US"/>
        </w:rPr>
        <w:t xml:space="preserve">ercentage change - at the level I (16.7%), level II (39.5%), and at the </w:t>
      </w:r>
      <w:r w:rsidR="00E30ECC" w:rsidRPr="008B76DC">
        <w:rPr>
          <w:rFonts w:ascii="Arial" w:hAnsi="Arial" w:cs="Arial"/>
          <w:sz w:val="24"/>
          <w:szCs w:val="24"/>
          <w:lang w:val="en-US"/>
        </w:rPr>
        <w:t>level III (37.8%), with p &lt;0.05</w:t>
      </w:r>
      <w:r w:rsidRPr="008B76DC">
        <w:rPr>
          <w:rFonts w:ascii="Arial" w:hAnsi="Arial" w:cs="Arial"/>
          <w:sz w:val="24"/>
          <w:szCs w:val="24"/>
          <w:lang w:val="en-US"/>
        </w:rPr>
        <w:t>, also characterizing a statistically significant difference in each taxonomic level (TABLE 2).</w:t>
      </w:r>
    </w:p>
    <w:p w:rsidR="007132CC" w:rsidRPr="008B76DC" w:rsidRDefault="006C0A12" w:rsidP="00310C02">
      <w:pPr>
        <w:spacing w:after="0" w:line="360" w:lineRule="auto"/>
        <w:rPr>
          <w:rFonts w:ascii="Arial" w:hAnsi="Arial" w:cs="Arial"/>
          <w:sz w:val="24"/>
          <w:szCs w:val="24"/>
          <w:lang w:val="en-US"/>
        </w:rPr>
      </w:pPr>
      <w:r w:rsidRPr="008B76DC">
        <w:rPr>
          <w:rFonts w:ascii="Arial" w:hAnsi="Arial" w:cs="Arial"/>
          <w:sz w:val="24"/>
          <w:szCs w:val="24"/>
          <w:lang w:val="en-US"/>
        </w:rPr>
        <w:t xml:space="preserve">                     </w:t>
      </w:r>
      <w:r w:rsidR="00ED0CB6" w:rsidRPr="008B76DC">
        <w:rPr>
          <w:rFonts w:ascii="Arial" w:hAnsi="Arial" w:cs="Arial"/>
          <w:sz w:val="24"/>
          <w:szCs w:val="24"/>
          <w:lang w:val="en-US"/>
        </w:rPr>
        <w:t xml:space="preserve">        </w:t>
      </w:r>
      <w:r w:rsidR="00C42E72" w:rsidRPr="008B76DC">
        <w:rPr>
          <w:rFonts w:ascii="Arial" w:hAnsi="Arial" w:cs="Arial"/>
          <w:sz w:val="24"/>
          <w:szCs w:val="24"/>
          <w:lang w:val="en-US"/>
        </w:rPr>
        <w:t xml:space="preserve">                                                                                                               </w:t>
      </w:r>
      <w:r w:rsidR="002474F2" w:rsidRPr="008B76DC">
        <w:rPr>
          <w:rFonts w:ascii="Arial" w:hAnsi="Arial" w:cs="Arial"/>
          <w:sz w:val="24"/>
          <w:szCs w:val="24"/>
          <w:lang w:val="en-US"/>
        </w:rPr>
        <w:t xml:space="preserve">                          </w:t>
      </w:r>
    </w:p>
    <w:p w:rsidR="00CA1646" w:rsidRPr="008B76DC" w:rsidRDefault="00764DC3" w:rsidP="00310C02">
      <w:pPr>
        <w:spacing w:after="0" w:line="360" w:lineRule="auto"/>
        <w:rPr>
          <w:rFonts w:ascii="Arial" w:hAnsi="Arial" w:cs="Arial"/>
          <w:b/>
          <w:sz w:val="24"/>
          <w:szCs w:val="24"/>
          <w:lang w:val="en-US"/>
        </w:rPr>
      </w:pPr>
      <w:r w:rsidRPr="008B76DC">
        <w:rPr>
          <w:rFonts w:ascii="Arial" w:hAnsi="Arial" w:cs="Arial"/>
          <w:b/>
          <w:sz w:val="24"/>
          <w:szCs w:val="24"/>
          <w:lang w:val="en-US"/>
        </w:rPr>
        <w:t>4</w:t>
      </w:r>
      <w:r w:rsidR="00682B8A" w:rsidRPr="008B76DC">
        <w:rPr>
          <w:rFonts w:ascii="Arial" w:hAnsi="Arial" w:cs="Arial"/>
          <w:b/>
          <w:sz w:val="24"/>
          <w:szCs w:val="24"/>
          <w:lang w:val="en-US"/>
        </w:rPr>
        <w:t xml:space="preserve">. </w:t>
      </w:r>
      <w:r w:rsidR="005D7DF8" w:rsidRPr="008B76DC">
        <w:rPr>
          <w:rFonts w:ascii="Arial" w:hAnsi="Arial" w:cs="Arial"/>
          <w:b/>
          <w:sz w:val="24"/>
          <w:szCs w:val="24"/>
          <w:lang w:val="en-US"/>
        </w:rPr>
        <w:t>DISCUSSION</w:t>
      </w:r>
    </w:p>
    <w:p w:rsidR="008137F0" w:rsidRPr="008B76DC" w:rsidRDefault="008137F0" w:rsidP="00310C02">
      <w:pPr>
        <w:spacing w:after="0" w:line="360" w:lineRule="auto"/>
        <w:rPr>
          <w:rFonts w:ascii="Arial" w:hAnsi="Arial" w:cs="Arial"/>
          <w:sz w:val="24"/>
          <w:szCs w:val="24"/>
          <w:lang w:val="en-US"/>
        </w:rPr>
      </w:pPr>
    </w:p>
    <w:p w:rsidR="005D4A41" w:rsidRPr="008B76DC" w:rsidRDefault="005D4A41"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It was obs</w:t>
      </w:r>
      <w:r w:rsidR="002A52B8" w:rsidRPr="008B76DC">
        <w:rPr>
          <w:rFonts w:ascii="Arial" w:hAnsi="Arial" w:cs="Arial"/>
          <w:sz w:val="24"/>
          <w:szCs w:val="24"/>
          <w:lang w:val="en-US"/>
        </w:rPr>
        <w:t xml:space="preserve">erved an increase in </w:t>
      </w:r>
      <w:r w:rsidRPr="008B76DC">
        <w:rPr>
          <w:rFonts w:ascii="Arial" w:hAnsi="Arial" w:cs="Arial"/>
          <w:sz w:val="24"/>
          <w:szCs w:val="24"/>
          <w:lang w:val="en-US"/>
        </w:rPr>
        <w:t>percentage change in both disciplines (Pharmaceutical Care I and Pharmaceutical Care II) when comparing the tests generally and also at the levels I, II and III of Bl</w:t>
      </w:r>
      <w:r w:rsidR="00F86C10" w:rsidRPr="008B76DC">
        <w:rPr>
          <w:rFonts w:ascii="Arial" w:hAnsi="Arial" w:cs="Arial"/>
          <w:sz w:val="24"/>
          <w:szCs w:val="24"/>
          <w:lang w:val="en-US"/>
        </w:rPr>
        <w:t>oom's Taxonomy. This characteriz</w:t>
      </w:r>
      <w:r w:rsidRPr="008B76DC">
        <w:rPr>
          <w:rFonts w:ascii="Arial" w:hAnsi="Arial" w:cs="Arial"/>
          <w:sz w:val="24"/>
          <w:szCs w:val="24"/>
          <w:lang w:val="en-US"/>
        </w:rPr>
        <w:t>es a great use of active methodology which was implemented to students through blended learning.</w:t>
      </w:r>
    </w:p>
    <w:p w:rsidR="006C0A12" w:rsidRPr="008B76DC" w:rsidRDefault="005D4A41"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 xml:space="preserve">Given the </w:t>
      </w:r>
      <w:r w:rsidR="00D8109A" w:rsidRPr="008B76DC">
        <w:rPr>
          <w:rFonts w:ascii="Arial" w:hAnsi="Arial" w:cs="Arial"/>
          <w:sz w:val="24"/>
          <w:szCs w:val="24"/>
          <w:lang w:val="en-US"/>
        </w:rPr>
        <w:t>increase in the scores after</w:t>
      </w:r>
      <w:r w:rsidRPr="008B76DC">
        <w:rPr>
          <w:rFonts w:ascii="Arial" w:hAnsi="Arial" w:cs="Arial"/>
          <w:sz w:val="24"/>
          <w:szCs w:val="24"/>
          <w:lang w:val="en-US"/>
        </w:rPr>
        <w:t xml:space="preserve"> intervention (Pharmaceutical Care classes) from the beginning to the end of the academic semesters, the study states that the central concepts of the disciplines of Pharmaceutical Care I and II were learned and retained at all levels of the cognitive domain.</w:t>
      </w:r>
    </w:p>
    <w:p w:rsidR="001F0B58" w:rsidRPr="008B76DC" w:rsidRDefault="00403A10"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Blended Learning uses face to face and online classes. This type of education has been well received by students, and has shown a good performance</w:t>
      </w:r>
      <w:r w:rsidR="001F0B58" w:rsidRPr="008B76DC">
        <w:rPr>
          <w:rFonts w:ascii="Arial" w:hAnsi="Arial" w:cs="Arial"/>
          <w:sz w:val="24"/>
          <w:szCs w:val="24"/>
          <w:lang w:val="en-US"/>
        </w:rPr>
        <w:t>.</w:t>
      </w:r>
      <w:r w:rsidR="002B60A0"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2B60A0" w:rsidRPr="008B76DC">
        <w:rPr>
          <w:rFonts w:ascii="Arial" w:hAnsi="Arial" w:cs="Arial"/>
          <w:sz w:val="24"/>
          <w:szCs w:val="24"/>
          <w:lang w:val="en-US"/>
        </w:rPr>
        <w:instrText>ADDIN CSL_CITATION { "citationItems" : [ { "id" : "ITEM-1", "itemData" : { "DOI" : "10.5688/aj730351", "ISBN" : "1553-6467", "ISSN" : "00029459", "PMID" : "19564994", "abstract" : "OBJECTIVE: To assess the effectiveness of online instruction in a cardiology pharmacotherapy elective.\\n\\nDESIGN: Eight drug-focused lectures and 6 introductory presentations were added to a cardiology pharmacotherapy course. Students completed an online quiz after each online drug-focused lecture and scores were compared to quizzes taken at the beginning and end of the course, as well as on a cardiology advanced pharmacy practice experience (APPE). For online introductory presentations, students completed a quiz at the beginning of the next face-to-face session. A survey was conducted at the end of the course to obtain student feedback.\\n\\nASSESSMENT: Compared to baseline scores, student learning was demonstrated after online drug-focused lectures by higher quiz scores attained immediately after completing the lecture, at the end of the course, and at the beginning of the APPE. Furthermore, students performed better on quizzes at the beginning of face-to-face sessions if they first completed an online introductory presentation. Students expressed strong support for the online components of the course.\\n\\nCONCLUSIONS: A blended learning environment with online and face-to-face instruction is an effective way to teach a cardiology pharmacotherapy elective. The online component of this course was well received by students, improved student preparation before attending class, and appeared to enhance long-term cardiovascular drug knowledge.", "author" : [ { "dropping-particle" : "", "family" : "Crouch", "given" : "Michael A.", "non-dropping-particle" : "", "parse-names" : false, "suffix" : "" } ], "container-title" : "American Journal of Pharmaceutical Education", "id" : "ITEM-1", "issue" : "3", "issued" : { "date-parts" : [ [ "2009" ] ] }, "page" : "4-6", "title" : "An advanced cardiovascular pharmacotherapy course blending online and face-to-face instruction", "type" : "article-journal", "volume" : "73" }, "uris" : [ "http://www.mendeley.com/documents/?uuid=0d553f62-863f-4be1-a97a-6b53ddd6b9a1" ] } ], "mendeley" : { "formattedCitation" : "&lt;sup&gt;17&lt;/sup&gt;", "plainTextFormattedCitation" : "17", "previouslyFormattedCitation" : "&lt;sup&gt;17&lt;/sup&gt;"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2B60A0" w:rsidRPr="008B76DC">
        <w:rPr>
          <w:rFonts w:ascii="Arial" w:hAnsi="Arial" w:cs="Arial"/>
          <w:noProof/>
          <w:sz w:val="24"/>
          <w:szCs w:val="24"/>
          <w:vertAlign w:val="superscript"/>
          <w:lang w:val="en-US"/>
        </w:rPr>
        <w:t>17</w:t>
      </w:r>
      <w:r w:rsidR="00771EBF" w:rsidRPr="008B76DC">
        <w:rPr>
          <w:rFonts w:ascii="Arial" w:hAnsi="Arial" w:cs="Arial"/>
          <w:sz w:val="24"/>
          <w:szCs w:val="24"/>
          <w:lang w:val="en-US"/>
        </w:rPr>
        <w:fldChar w:fldCharType="end"/>
      </w:r>
      <w:r w:rsidR="00771EBF" w:rsidRPr="008B76DC">
        <w:rPr>
          <w:rFonts w:ascii="Arial" w:hAnsi="Arial" w:cs="Arial"/>
          <w:sz w:val="24"/>
          <w:szCs w:val="24"/>
          <w:lang w:val="en-US"/>
        </w:rPr>
        <w:fldChar w:fldCharType="begin" w:fldLock="1"/>
      </w:r>
      <w:r w:rsidR="002B60A0" w:rsidRPr="008B76DC">
        <w:rPr>
          <w:rFonts w:ascii="Arial" w:hAnsi="Arial" w:cs="Arial"/>
          <w:sz w:val="24"/>
          <w:szCs w:val="24"/>
          <w:lang w:val="en-US"/>
        </w:rPr>
        <w:instrText>ADDIN CSL_CITATION { "citationItems" : [ { "id" : "ITEM-1", "itemData" : { "ISBN" : "0002-9459", "ISSN" : "1553-6467", "PMID" : "20798797", "abstract" : "Objective. To assess pharmacy students\u2019 attitudes towards a blended-learning pharmacokinetics course. Design. Narrated visual presentations and animations that illustrated kinetic processes and guided students through the use of software programs used for calculations were created. Other learning techniques used included online self-assessment quizzes, practice problem sets, and weekly face-to- face problem-solving tutorials. Assessment. A precourse questionnaire to assess students\u2019 level of enthusiasm towards the blended- learning course and to solicit any concerns they had was administered at the beginning of the course. A postcourse questionnaire that included the same 4 Likert-scale items from the precourse questionnaire and follow-up open-ended questions was administered. Individual changes in level of enthusiasm were compared for individuals who completed both the precourse and postcourse questionnaire. Students\u2019 concerns about the blended method of learning had decreased postcourse while their enthusiasm for the benefits of blended learning had increased. Conclusion. Students\u2019 initial concerns about the blended learning experience were focused on their ability to communicate with the instructor about the online components, but shifted to their own time management skills at the end of the course. Face-to-face interactions with each other and with the instructor", "author" : [ { "dropping-particle" : "", "family" : "Edginton", "given" : "Andrea", "non-dropping-particle" : "", "parse-names" : false, "suffix" : "" }, { "dropping-particle" : "", "family" : "Holbrook", "given" : "Jane", "non-dropping-particle" : "", "parse-names" : false, "suffix" : "" } ], "container-title" : "American Journal of Pharmaceutical Education", "id" : "ITEM-1", "issue" : "5", "issued" : { "date-parts" : [ [ "2010" ] ] }, "page" : "1-11", "title" : "Instructional Design and Assessment: A Blended Learning Approach to Teaching Basic Pharmacokinetics and the Significance of Face-to-Face Interaction", "type" : "article-journal", "volume" : "74" }, "uris" : [ "http://www.mendeley.com/documents/?uuid=a922a750-2d97-4a00-a0b0-1f18d5b4f83a" ] } ], "mendeley" : { "formattedCitation" : "&lt;sup&gt;18&lt;/sup&gt;", "plainTextFormattedCitation" : "18", "previouslyFormattedCitation" : "&lt;sup&gt;18&lt;/sup&gt;"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2B60A0" w:rsidRPr="008B76DC">
        <w:rPr>
          <w:rFonts w:ascii="Arial" w:hAnsi="Arial" w:cs="Arial"/>
          <w:noProof/>
          <w:sz w:val="24"/>
          <w:szCs w:val="24"/>
          <w:vertAlign w:val="superscript"/>
          <w:lang w:val="en-US"/>
        </w:rPr>
        <w:t>18</w:t>
      </w:r>
      <w:r w:rsidR="00771EBF" w:rsidRPr="008B76DC">
        <w:rPr>
          <w:rFonts w:ascii="Arial" w:hAnsi="Arial" w:cs="Arial"/>
          <w:sz w:val="24"/>
          <w:szCs w:val="24"/>
          <w:lang w:val="en-US"/>
        </w:rPr>
        <w:fldChar w:fldCharType="end"/>
      </w:r>
      <w:r w:rsidR="00771EBF" w:rsidRPr="008B76DC">
        <w:rPr>
          <w:rFonts w:ascii="Arial" w:hAnsi="Arial" w:cs="Arial"/>
          <w:sz w:val="24"/>
          <w:szCs w:val="24"/>
          <w:lang w:val="en-US"/>
        </w:rPr>
        <w:fldChar w:fldCharType="begin" w:fldLock="1"/>
      </w:r>
      <w:r w:rsidR="002B60A0" w:rsidRPr="008B76DC">
        <w:rPr>
          <w:rFonts w:ascii="Arial" w:hAnsi="Arial" w:cs="Arial"/>
          <w:sz w:val="24"/>
          <w:szCs w:val="24"/>
          <w:lang w:val="en-US"/>
        </w:rPr>
        <w:instrText>ADDIN CSL_CITATION { "citationItems" : [ { "id" : "ITEM-1", "itemData" : { "DOI" : "10.5688/ajpe767135", "ISBN" : "6173737655", "ISSN" : "15536467", "abstract" : "Objective. To determine whether an introductory review module using a hybrid-learning approach helped students learn infectious disease management in an anti-infectives therapeutics course. Design. An introductory module consisting of an online pharmacology review, pre-class assignment, 2 classroom lectures, and 1 case-based lecture was developed and implemented. Assessment. Among the 110 students who completed pre- and post-tests on the material covered, average scores increased from 71% to 83% (p,0.0001). Performance on knowledge-based question improved for 8 out of 10 questions (p,0.05) and student confidence increased from the first lecture to completion of the module (p,0.001 for all comparisons). Of the 129 students who completed an evaluation of the introductory module, 98% strongly agreed or agreed that the content was essential for course success. Conclusion. The addition of an introductory module using a hybrid-learning approach to review and solidify concepts of medical microbiology and pharmacology provided the foundation necessary for success in an infectious diseases module.", "author" : [ { "dropping-particle" : "", "family" : "Leonard", "given" : "Steven N.", "non-dropping-particle" : "", "parse-names" : false, "suffix" : "" }, { "dropping-particle" : "", "family" : "Murphy", "given" : "Kendrick", "non-dropping-particle" : "", "parse-names" : false, "suffix" : "" }, { "dropping-particle" : "", "family" : "Zaeem", "given" : "Maryam", "non-dropping-particle" : "", "parse-names" : false, "suffix" : "" }, { "dropping-particle" : "V.", "family" : "DiVall", "given" : "Margarita", "non-dropping-particle" : "", "parse-names" : false, "suffix" : "" } ], "container-title" : "American journal of pharmaceutical education", "id" : "ITEM-1", "issue" : "7", "issued" : { "date-parts" : [ [ "2012" ] ] }, "page" : "3-7", "title" : "An introductory review module for an anti-infectives therapeutics course.", "type" : "article-journal", "volume" : "76" }, "uris" : [ "http://www.mendeley.com/documents/?uuid=729a6bf0-4baa-409c-b718-9084129f2bd0" ] } ], "mendeley" : { "formattedCitation" : "&lt;sup&gt;19&lt;/sup&gt;", "plainTextFormattedCitation" : "19", "previouslyFormattedCitation" : "&lt;sup&gt;19&lt;/sup&gt;"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2B60A0" w:rsidRPr="008B76DC">
        <w:rPr>
          <w:rFonts w:ascii="Arial" w:hAnsi="Arial" w:cs="Arial"/>
          <w:noProof/>
          <w:sz w:val="24"/>
          <w:szCs w:val="24"/>
          <w:vertAlign w:val="superscript"/>
          <w:lang w:val="en-US"/>
        </w:rPr>
        <w:t>19</w:t>
      </w:r>
      <w:r w:rsidR="00771EBF" w:rsidRPr="008B76DC">
        <w:rPr>
          <w:rFonts w:ascii="Arial" w:hAnsi="Arial" w:cs="Arial"/>
          <w:sz w:val="24"/>
          <w:szCs w:val="24"/>
          <w:lang w:val="en-US"/>
        </w:rPr>
        <w:fldChar w:fldCharType="end"/>
      </w:r>
      <w:r w:rsidR="00771EBF" w:rsidRPr="008B76DC">
        <w:rPr>
          <w:rFonts w:ascii="Arial" w:hAnsi="Arial" w:cs="Arial"/>
          <w:sz w:val="24"/>
          <w:szCs w:val="24"/>
          <w:lang w:val="en-US"/>
        </w:rPr>
        <w:fldChar w:fldCharType="begin" w:fldLock="1"/>
      </w:r>
      <w:r w:rsidR="00876A6A" w:rsidRPr="008B76DC">
        <w:rPr>
          <w:rFonts w:ascii="Arial" w:hAnsi="Arial" w:cs="Arial"/>
          <w:sz w:val="24"/>
          <w:szCs w:val="24"/>
          <w:lang w:val="en-US"/>
        </w:rPr>
        <w:instrText>ADDIN CSL_CITATION { "citationItems" : [ { "id" : "ITEM-1", "itemData" : { "ISBN" : "0002-9459", "ISSN" : "0002-9459", "abstract" : "To implement a \"flipped classroom\" model for a renal pharmacotherapy topic module and assess the impact on pharmacy students' performance and attitudes. Students viewed vodcasts (video podcasts) of lectures prior to the scheduled class and then discussed interactive cases of patients with end-stage renal disease in class. A process-oriented guided inquiry learning (POGIL) activity was developed and implemented that complemented, summarized, and allowed for application of the material contained in the previously viewed lectures. Students' performance on the final examination significantly improved compared to performance of students the previous year who completed the same module in a traditional classroom setting. Students' opinions of the POGIL activity and the flipped classroom instructional model were mostly positive. Implementing a flipped classroom model to teach a renal pharmacotherapy module resulted in improved student performance and favorable student perceptions about the instructional approach. Some of the factors that may have contributed to students' improved scores included: student mediated contact with the course material prior to classes, benchmark and formative assessments administered during the module, and the interactive class activities.", "author" : [ { "dropping-particle" : "", "family" : "Pierce, Richard; Fox", "given" : "Jeremy", "non-dropping-particle" : "", "parse-names" : false, "suffix" : "" } ], "container-title" : "American Journal of Pharmaceutical Education", "id" : "ITEM-1", "issue" : "10", "issued" : { "date-parts" : [ [ "2012" ] ] }, "page" : "196-100", "title" : "Vodcasts and Active-Learning Exercises in a &amp;quot;Flipped Classroom&amp;quot; Model of a Renal Pharmacotherapy Module", "type" : "article-journal", "volume" : "76" }, "uris" : [ "http://www.mendeley.com/documents/?uuid=19f95f0f-7626-44b1-9953-4b4dc8d4428b" ] } ], "mendeley" : { "formattedCitation" : "&lt;sup&gt;20&lt;/sup&gt;", "plainTextFormattedCitation" : "20", "previouslyFormattedCitation" : "&lt;sup&gt;20&lt;/sup&gt;"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2B60A0" w:rsidRPr="008B76DC">
        <w:rPr>
          <w:rFonts w:ascii="Arial" w:hAnsi="Arial" w:cs="Arial"/>
          <w:noProof/>
          <w:sz w:val="24"/>
          <w:szCs w:val="24"/>
          <w:vertAlign w:val="superscript"/>
          <w:lang w:val="en-US"/>
        </w:rPr>
        <w:t>20</w:t>
      </w:r>
      <w:r w:rsidR="00771EBF" w:rsidRPr="008B76DC">
        <w:rPr>
          <w:rFonts w:ascii="Arial" w:hAnsi="Arial" w:cs="Arial"/>
          <w:sz w:val="24"/>
          <w:szCs w:val="24"/>
          <w:lang w:val="en-US"/>
        </w:rPr>
        <w:fldChar w:fldCharType="end"/>
      </w:r>
    </w:p>
    <w:p w:rsidR="001F0B58" w:rsidRPr="008B76DC" w:rsidRDefault="00E7163B"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Besides the on-line education, blended learning is growing in popularity. Educators consider it an essential component of educatio</w:t>
      </w:r>
      <w:r w:rsidR="00876A6A" w:rsidRPr="008B76DC">
        <w:rPr>
          <w:rFonts w:ascii="Arial" w:hAnsi="Arial" w:cs="Arial"/>
          <w:sz w:val="24"/>
          <w:szCs w:val="24"/>
          <w:lang w:val="en-US"/>
        </w:rPr>
        <w:t>n, promoting effective learning</w:t>
      </w:r>
      <w:r w:rsidR="001F0B58"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876A6A" w:rsidRPr="008B76DC">
        <w:rPr>
          <w:rFonts w:ascii="Arial" w:hAnsi="Arial" w:cs="Arial"/>
          <w:sz w:val="24"/>
          <w:szCs w:val="24"/>
          <w:lang w:val="en-US"/>
        </w:rPr>
        <w:instrText>ADDIN CSL_CITATION { "citationItems" : [ { "id" : "ITEM-1", "itemData" : { "DOI" : "10.1016/j.compedu.2012.08.006", "ISBN" : "0360-1315", "ISSN" : "03601315", "PMID" : "15003161", "abstract" : "This article examines whether a mixture of virtual and real-life interaction - in contrast to purely virtual interaction - among some members of online communities for teachers is beneficial for all teachers' professional development in the whole community. Earlier research indicated that blended communities tend to face fewer trust and free rider problems. This study continues this stream of research by examining whether blended communities provide more practical benefits to teachers, both in terms of perceived improvements to their teaching capabilities as well as for their substantial understanding of their core topic. In addition, it is tested whether blended communities provide more information about vacancies, as teachers' mobility is regarded as too low in the EU. The analysis uses survey data from 26 online communities for secondary education teachers in The Netherlands. The communities are part of a virtual organization that hosts communities for teachers' professional development. The findings indeed show beneficial effects of blended communities. Moreover, the results modify earlier claims about the integration of online communication with offline interaction by showing that complete integration is unnecessary. This facilitates a scaling up of the use of online communities for teachers' professional development. ?? 2012 Elsevier Ltd. All rights reserved.", "author" : [ { "dropping-particle" : "", "family" : "Matzat", "given" : "U.", "non-dropping-particle" : "", "parse-names" : false, "suffix" : "" } ], "container-title" : "Computers and Education", "id" : "ITEM-1", "issue" : "1", "issued" : { "date-parts" : [ [ "2013" ] ] }, "page" : "40-51", "publisher" : "Elsevier Ltd", "title" : "Do blended virtual learning communities enhance teachers' professional development more than purely virtual ones? A large scale empirical comparison", "type" : "article-journal", "volume" : "60" }, "uris" : [ "http://www.mendeley.com/documents/?uuid=b6fea9aa-9d6f-43b4-9636-bad02472bfc2" ] } ], "mendeley" : { "formattedCitation" : "&lt;sup&gt;21&lt;/sup&gt;", "plainTextFormattedCitation" : "21", "previouslyFormattedCitation" : "&lt;sup&gt;21&lt;/sup&gt;"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876A6A" w:rsidRPr="008B76DC">
        <w:rPr>
          <w:rFonts w:ascii="Arial" w:hAnsi="Arial" w:cs="Arial"/>
          <w:noProof/>
          <w:sz w:val="24"/>
          <w:szCs w:val="24"/>
          <w:vertAlign w:val="superscript"/>
          <w:lang w:val="en-US"/>
        </w:rPr>
        <w:t>21</w:t>
      </w:r>
      <w:r w:rsidR="00771EBF" w:rsidRPr="008B76DC">
        <w:rPr>
          <w:rFonts w:ascii="Arial" w:hAnsi="Arial" w:cs="Arial"/>
          <w:sz w:val="24"/>
          <w:szCs w:val="24"/>
          <w:lang w:val="en-US"/>
        </w:rPr>
        <w:fldChar w:fldCharType="end"/>
      </w:r>
    </w:p>
    <w:p w:rsidR="006C0A12" w:rsidRPr="008B76DC" w:rsidRDefault="002C6A25" w:rsidP="00310C02">
      <w:pPr>
        <w:spacing w:after="0" w:line="480" w:lineRule="auto"/>
        <w:ind w:firstLine="708"/>
        <w:rPr>
          <w:rFonts w:ascii="Arial" w:hAnsi="Arial" w:cs="Arial"/>
          <w:sz w:val="24"/>
          <w:szCs w:val="24"/>
          <w:lang w:val="en-US"/>
        </w:rPr>
      </w:pPr>
      <w:proofErr w:type="spellStart"/>
      <w:r w:rsidRPr="008B76DC">
        <w:rPr>
          <w:rFonts w:ascii="Arial" w:hAnsi="Arial" w:cs="Arial"/>
          <w:sz w:val="24"/>
          <w:szCs w:val="24"/>
          <w:lang w:val="en-US"/>
        </w:rPr>
        <w:t>Kirschner</w:t>
      </w:r>
      <w:proofErr w:type="spellEnd"/>
      <w:r w:rsidRPr="008B76DC">
        <w:rPr>
          <w:rFonts w:ascii="Arial" w:hAnsi="Arial" w:cs="Arial"/>
          <w:sz w:val="24"/>
          <w:szCs w:val="24"/>
          <w:lang w:val="en-US"/>
        </w:rPr>
        <w:t xml:space="preserve">, </w:t>
      </w:r>
      <w:proofErr w:type="spellStart"/>
      <w:r w:rsidRPr="008B76DC">
        <w:rPr>
          <w:rFonts w:ascii="Arial" w:hAnsi="Arial" w:cs="Arial"/>
          <w:sz w:val="24"/>
          <w:szCs w:val="24"/>
          <w:lang w:val="en-US"/>
        </w:rPr>
        <w:t>Swelle</w:t>
      </w:r>
      <w:proofErr w:type="spellEnd"/>
      <w:r w:rsidRPr="008B76DC">
        <w:rPr>
          <w:rFonts w:ascii="Arial" w:hAnsi="Arial" w:cs="Arial"/>
          <w:sz w:val="24"/>
          <w:szCs w:val="24"/>
          <w:lang w:val="en-US"/>
        </w:rPr>
        <w:t xml:space="preserve"> </w:t>
      </w:r>
      <w:r w:rsidR="00F64208" w:rsidRPr="008B76DC">
        <w:rPr>
          <w:rFonts w:ascii="Arial" w:hAnsi="Arial" w:cs="Arial"/>
          <w:sz w:val="24"/>
          <w:szCs w:val="24"/>
          <w:lang w:val="en-US"/>
        </w:rPr>
        <w:t xml:space="preserve">and </w:t>
      </w:r>
      <w:r w:rsidR="006C0A12" w:rsidRPr="008B76DC">
        <w:rPr>
          <w:rFonts w:ascii="Arial" w:hAnsi="Arial" w:cs="Arial"/>
          <w:sz w:val="24"/>
          <w:szCs w:val="24"/>
          <w:lang w:val="en-US"/>
        </w:rPr>
        <w:t>Clark</w:t>
      </w:r>
      <w:r w:rsidR="00876A6A"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876A6A" w:rsidRPr="008B76DC">
        <w:rPr>
          <w:rFonts w:ascii="Arial" w:hAnsi="Arial" w:cs="Arial"/>
          <w:sz w:val="24"/>
          <w:szCs w:val="24"/>
          <w:lang w:val="en-US"/>
        </w:rPr>
        <w:instrText>ADDIN CSL_CITATION { "citationItems" : [ { "id" : "ITEM-1", "itemData" : { "DOI" : "10.1207/s15326985ep4102", "ISBN" : "00461520", "ISSN" : "00461520", "PMID" : "20650252", "abstract" : "This article provides a tutorial overview of cognitive architectures that can form a theoretical foundation for designingmultimedia instruction. Cognitive architectures include a description of memory stores, memory codes, and cognitive operations. Architectures that are relevant to multimedia learning include Paivio\u2019s dual coding theory, Baddeley\u2019s working memorymodel, Engelkamp\u2019smultimodal theory, Sweller\u2019s cognitive load theory,Mayer\u2019smultimedia learning theory, and Nathan\u2019s ANIMATE theory. The discussion emphasizes the interplay between tra- ditional research studies and instructional applications of this research for increasing recall, re- ducing interference, minimizing cognitive load, and enhancing understanding. Tentative con- clusions are that (a) there is general agreement among the different architectures, which differ in focus; (b) learners\u2019 integration of multiple codes is underspecified in the models; (c) ani- mated instruction is not required when mental simulations are sufficient; (d) actions must be meaningful to be successful; and (e) multimodal instruction is superior to targeting modal- ity-specific individual differences.", "author" : [ { "dropping-particle" : "", "family" : "Kirschner", "given" : "Paul A.", "non-dropping-particle" : "", "parse-names" : false, "suffix" : "" }, { "dropping-particle" : "", "family" : "Sweller", "given" : "John", "non-dropping-particle" : "", "parse-names" : false, "suffix" : "" }, { "dropping-particle" : "", "family" : "Clark", "given" : "Richard E.", "non-dropping-particle" : "", "parse-names" : false, "suffix" : "" } ], "container-title" : "Educational Psychologist", "id" : "ITEM-1", "issue" : "March 2015", "issued" : { "date-parts" : [ [ "2006" ] ] }, "page" : "87-98", "title" : "Why Minimal Guidance During Instruction Does Not Work", "type" : "article-journal", "volume" : "41" }, "uris" : [ "http://www.mendeley.com/documents/?uuid=900fca7a-8fcf-4898-9413-97f5fd2354b2" ] } ], "mendeley" : { "formattedCitation" : "&lt;sup&gt;22&lt;/sup&gt;", "plainTextFormattedCitation" : "22", "previouslyFormattedCitation" : "&lt;sup&gt;22&lt;/sup&gt;"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876A6A" w:rsidRPr="008B76DC">
        <w:rPr>
          <w:rFonts w:ascii="Arial" w:hAnsi="Arial" w:cs="Arial"/>
          <w:noProof/>
          <w:sz w:val="24"/>
          <w:szCs w:val="24"/>
          <w:vertAlign w:val="superscript"/>
          <w:lang w:val="en-US"/>
        </w:rPr>
        <w:t>22</w:t>
      </w:r>
      <w:r w:rsidR="00771EBF" w:rsidRPr="008B76DC">
        <w:rPr>
          <w:rFonts w:ascii="Arial" w:hAnsi="Arial" w:cs="Arial"/>
          <w:sz w:val="24"/>
          <w:szCs w:val="24"/>
          <w:lang w:val="en-US"/>
        </w:rPr>
        <w:fldChar w:fldCharType="end"/>
      </w:r>
      <w:r w:rsidR="00876A6A" w:rsidRPr="008B76DC">
        <w:rPr>
          <w:rFonts w:ascii="Arial" w:hAnsi="Arial" w:cs="Arial"/>
          <w:sz w:val="24"/>
          <w:szCs w:val="24"/>
          <w:lang w:val="en-US"/>
        </w:rPr>
        <w:t xml:space="preserve"> </w:t>
      </w:r>
      <w:r w:rsidR="008143E5" w:rsidRPr="008B76DC">
        <w:rPr>
          <w:rFonts w:ascii="Arial" w:hAnsi="Arial" w:cs="Arial"/>
          <w:sz w:val="24"/>
          <w:szCs w:val="24"/>
          <w:lang w:val="en-US"/>
        </w:rPr>
        <w:t xml:space="preserve">support the impact of the learning goals. </w:t>
      </w:r>
      <w:r w:rsidR="00D8109A" w:rsidRPr="008B76DC">
        <w:rPr>
          <w:rFonts w:ascii="Arial" w:hAnsi="Arial" w:cs="Arial"/>
          <w:sz w:val="24"/>
          <w:szCs w:val="24"/>
          <w:lang w:val="en-US"/>
        </w:rPr>
        <w:t>G</w:t>
      </w:r>
      <w:r w:rsidR="008143E5" w:rsidRPr="008B76DC">
        <w:rPr>
          <w:rFonts w:ascii="Arial" w:hAnsi="Arial" w:cs="Arial"/>
          <w:sz w:val="24"/>
          <w:szCs w:val="24"/>
          <w:lang w:val="en-US"/>
        </w:rPr>
        <w:t>uided instruction results in a better academic achievement of "what to do".</w:t>
      </w:r>
      <w:r w:rsidR="006C0A12" w:rsidRPr="008B76DC">
        <w:rPr>
          <w:rFonts w:ascii="Arial" w:hAnsi="Arial" w:cs="Arial"/>
          <w:sz w:val="24"/>
          <w:szCs w:val="24"/>
          <w:lang w:val="en-US"/>
        </w:rPr>
        <w:t xml:space="preserve"> </w:t>
      </w:r>
      <w:r w:rsidR="000C0D81" w:rsidRPr="008B76DC">
        <w:rPr>
          <w:rFonts w:ascii="Arial" w:hAnsi="Arial" w:cs="Arial"/>
          <w:sz w:val="24"/>
          <w:szCs w:val="24"/>
          <w:lang w:val="en-US"/>
        </w:rPr>
        <w:t>“What to do” and “how to do it” should be explicitly shown to students.</w:t>
      </w:r>
    </w:p>
    <w:p w:rsidR="006C0A12" w:rsidRPr="008B76DC" w:rsidRDefault="009B67A8"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lastRenderedPageBreak/>
        <w:t xml:space="preserve">Learning </w:t>
      </w:r>
      <w:r w:rsidR="00A22F34" w:rsidRPr="008B76DC">
        <w:rPr>
          <w:rFonts w:ascii="Arial" w:hAnsi="Arial" w:cs="Arial"/>
          <w:sz w:val="24"/>
          <w:szCs w:val="24"/>
          <w:lang w:val="en-US"/>
        </w:rPr>
        <w:t>evaluation involves collecting data on the principles, facts and techniques that have been achieved by the students. This step includes pre and post-test</w:t>
      </w:r>
      <w:r w:rsidR="0023756E" w:rsidRPr="008B76DC">
        <w:rPr>
          <w:rFonts w:ascii="Arial" w:hAnsi="Arial" w:cs="Arial"/>
          <w:sz w:val="24"/>
          <w:szCs w:val="24"/>
          <w:lang w:val="en-US"/>
        </w:rPr>
        <w:t>s</w:t>
      </w:r>
      <w:r w:rsidR="00A22F34" w:rsidRPr="008B76DC">
        <w:rPr>
          <w:rFonts w:ascii="Arial" w:hAnsi="Arial" w:cs="Arial"/>
          <w:sz w:val="24"/>
          <w:szCs w:val="24"/>
          <w:lang w:val="en-US"/>
        </w:rPr>
        <w:t xml:space="preserve"> in order to measure th</w:t>
      </w:r>
      <w:r w:rsidR="00876A6A" w:rsidRPr="008B76DC">
        <w:rPr>
          <w:rFonts w:ascii="Arial" w:hAnsi="Arial" w:cs="Arial"/>
          <w:sz w:val="24"/>
          <w:szCs w:val="24"/>
          <w:lang w:val="en-US"/>
        </w:rPr>
        <w:t>e gains of learning experiences</w:t>
      </w:r>
      <w:r w:rsidR="006C0A12"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757605" w:rsidRPr="008B76DC">
        <w:rPr>
          <w:rFonts w:ascii="Arial" w:hAnsi="Arial" w:cs="Arial"/>
          <w:sz w:val="24"/>
          <w:szCs w:val="24"/>
          <w:lang w:val="en-US"/>
        </w:rPr>
        <w:instrText>ADDIN CSL_CITATION { "citationItems" : [ { "id" : "ITEM-1", "itemData" : { "author" : [ { "dropping-particle" : "", "family" : "KNOWLES, M.S., HOLTON, E.F.; SWANSON", "given" : "R.A", "non-dropping-particle" : "", "parse-names" : false, "suffix" : "" } ], "id" : "ITEM-1", "issued" : { "date-parts" : [ [ "2011" ] ] }, "publisher" : "Elsevier Ltd", "publisher-place" : "Rio de Janeiro", "title" : ". Aprendizagem de resultados: uma abordagem pr\u00e1tica para aumentar a efetividade da educa\u00e7\u00e3o corporativa. Tradu\u00e7\u00e3o: Sabine Alexandra Holler", "type" : "book" }, "uris" : [ "http://www.mendeley.com/documents/?uuid=c8bfe9f7-bcba-4a9b-ba6c-beca9f7acbc3" ] } ], "mendeley" : { "formattedCitation" : "&lt;sup&gt;23&lt;/sup&gt;", "plainTextFormattedCitation" : "23", "previouslyFormattedCitation" : "&lt;sup&gt;23&lt;/sup&gt;"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876A6A" w:rsidRPr="008B76DC">
        <w:rPr>
          <w:rFonts w:ascii="Arial" w:hAnsi="Arial" w:cs="Arial"/>
          <w:noProof/>
          <w:sz w:val="24"/>
          <w:szCs w:val="24"/>
          <w:vertAlign w:val="superscript"/>
          <w:lang w:val="en-US"/>
        </w:rPr>
        <w:t>23</w:t>
      </w:r>
      <w:r w:rsidR="00771EBF" w:rsidRPr="008B76DC">
        <w:rPr>
          <w:rFonts w:ascii="Arial" w:hAnsi="Arial" w:cs="Arial"/>
          <w:sz w:val="24"/>
          <w:szCs w:val="24"/>
          <w:lang w:val="en-US"/>
        </w:rPr>
        <w:fldChar w:fldCharType="end"/>
      </w:r>
    </w:p>
    <w:p w:rsidR="00A23AA7" w:rsidRPr="008B76DC" w:rsidRDefault="00784969"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Pre/</w:t>
      </w:r>
      <w:r w:rsidR="001F5EB8" w:rsidRPr="008B76DC">
        <w:rPr>
          <w:rFonts w:ascii="Arial" w:hAnsi="Arial" w:cs="Arial"/>
          <w:sz w:val="24"/>
          <w:szCs w:val="24"/>
          <w:lang w:val="en-US"/>
        </w:rPr>
        <w:t>post-course tests, and summative assessments are important to measure student learn</w:t>
      </w:r>
      <w:r w:rsidR="00757605" w:rsidRPr="008B76DC">
        <w:rPr>
          <w:rFonts w:ascii="Arial" w:hAnsi="Arial" w:cs="Arial"/>
          <w:sz w:val="24"/>
          <w:szCs w:val="24"/>
          <w:lang w:val="en-US"/>
        </w:rPr>
        <w:t>ing in pharmaceutical education</w:t>
      </w:r>
      <w:r w:rsidR="00A23AA7"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757605" w:rsidRPr="008B76DC">
        <w:rPr>
          <w:rFonts w:ascii="Arial" w:hAnsi="Arial" w:cs="Arial"/>
          <w:sz w:val="24"/>
          <w:szCs w:val="24"/>
          <w:lang w:val="en-US"/>
        </w:rPr>
        <w:instrText>ADDIN CSL_CITATION { "citationItems" : [ { "id" : "ITEM-1", "itemData" : { "ISSN" : "00029459", "PMID" : "20414436", "abstract" : "OBJECTIVE: To describe the introduction of an education concentration in a doctor of pharmacy (PharmD) program and to evaluate its impact on students' knowledge and attitudes about teaching.\\n\\nDESIGN: A concentration consisting of 3 elective 2-credit didactic courses and an advanced pharmacy practice experience with a teaching focus were developed and implemented into the PharmD curriculum.\\n\\nASSESSMENT: An attitudes survey instrument and knowledge test were administered to students enrolled in the education concentration track at baseline and after completing the 3 didactic education courses. Students' attitudes toward using various assessment tools and instructional strategies improved and knowledge about concepts in higher education and interest in pursuing a career in academia increased.\\n\\nCONCLUSION: Pharmacy students completing an education concentration were more likely to consider a career in higher education.", "author" : [ { "dropping-particle" : "", "family" : "Poirier", "given" : "Therese I.", "non-dropping-particle" : "", "parse-names" : false, "suffix" : "" }, { "dropping-particle" : "", "family" : "Santanello", "given" : "Cathy", "non-dropping-particle" : "", "parse-names" : false, "suffix" : "" } ], "container-title" : "American Journal of Pharmaceutical Education", "id" : "ITEM-1", "issue" : "2", "issued" : { "date-parts" : [ [ "2010" ] ] }, "title" : "Impact of a pharmacy education concentration on students' teaching knowledge and attitudes", "type" : "article-journal", "volume" : "74" }, "uris" : [ "http://www.mendeley.com/documents/?uuid=f50f621a-a756-4a37-9c3b-1b527262fcfb" ] } ], "mendeley" : { "formattedCitation" : "&lt;sup&gt;24&lt;/sup&gt;", "plainTextFormattedCitation" : "24", "previouslyFormattedCitation" : "&lt;sup&gt;24&lt;/sup&gt;"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757605" w:rsidRPr="008B76DC">
        <w:rPr>
          <w:rFonts w:ascii="Arial" w:hAnsi="Arial" w:cs="Arial"/>
          <w:noProof/>
          <w:sz w:val="24"/>
          <w:szCs w:val="24"/>
          <w:vertAlign w:val="superscript"/>
          <w:lang w:val="en-US"/>
        </w:rPr>
        <w:t>24</w:t>
      </w:r>
      <w:r w:rsidR="00771EBF" w:rsidRPr="008B76DC">
        <w:rPr>
          <w:rFonts w:ascii="Arial" w:hAnsi="Arial" w:cs="Arial"/>
          <w:sz w:val="24"/>
          <w:szCs w:val="24"/>
          <w:lang w:val="en-US"/>
        </w:rPr>
        <w:fldChar w:fldCharType="end"/>
      </w:r>
      <w:r w:rsidR="00771EBF" w:rsidRPr="008B76DC">
        <w:rPr>
          <w:rFonts w:ascii="Arial" w:hAnsi="Arial" w:cs="Arial"/>
          <w:sz w:val="24"/>
          <w:szCs w:val="24"/>
          <w:lang w:val="en-US"/>
        </w:rPr>
        <w:fldChar w:fldCharType="begin" w:fldLock="1"/>
      </w:r>
      <w:r w:rsidR="00757605" w:rsidRPr="008B76DC">
        <w:rPr>
          <w:rFonts w:ascii="Arial" w:hAnsi="Arial" w:cs="Arial"/>
          <w:sz w:val="24"/>
          <w:szCs w:val="24"/>
          <w:lang w:val="en-US"/>
        </w:rPr>
        <w:instrText>ADDIN CSL_CITATION { "citationItems" : [ { "id" : "ITEM-1", "itemData" : { "ISSN" : "00029459", "PMID" : "20585424", "author" : [ { "dropping-particle" : "", "family" : "DiPiro", "given" : "Joseph T.", "non-dropping-particle" : "", "parse-names" : false, "suffix" : "" } ], "container-title" : "American Journal of Pharmaceutical Education", "id" : "ITEM-1", "issue" : "4", "issued" : { "date-parts" : [ [ "2010" ] ] }, "page" : "2010", "title" : "Student learning: Perception versus reality", "type" : "article-journal", "volume" : "74" }, "uris" : [ "http://www.mendeley.com/documents/?uuid=45d4dc32-dcb6-460f-92cf-3fadb9d56499" ] } ], "mendeley" : { "formattedCitation" : "&lt;sup&gt;25&lt;/sup&gt;", "plainTextFormattedCitation" : "25", "previouslyFormattedCitation" : "&lt;sup&gt;25&lt;/sup&gt;"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757605" w:rsidRPr="008B76DC">
        <w:rPr>
          <w:rFonts w:ascii="Arial" w:hAnsi="Arial" w:cs="Arial"/>
          <w:noProof/>
          <w:sz w:val="24"/>
          <w:szCs w:val="24"/>
          <w:vertAlign w:val="superscript"/>
          <w:lang w:val="en-US"/>
        </w:rPr>
        <w:t>25</w:t>
      </w:r>
      <w:r w:rsidR="00771EBF" w:rsidRPr="008B76DC">
        <w:rPr>
          <w:rFonts w:ascii="Arial" w:hAnsi="Arial" w:cs="Arial"/>
          <w:sz w:val="24"/>
          <w:szCs w:val="24"/>
          <w:lang w:val="en-US"/>
        </w:rPr>
        <w:fldChar w:fldCharType="end"/>
      </w:r>
    </w:p>
    <w:p w:rsidR="006C0A12" w:rsidRPr="008B76DC" w:rsidRDefault="00C5267F"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By u</w:t>
      </w:r>
      <w:r w:rsidR="00416073" w:rsidRPr="008B76DC">
        <w:rPr>
          <w:rFonts w:ascii="Arial" w:hAnsi="Arial" w:cs="Arial"/>
          <w:sz w:val="24"/>
          <w:szCs w:val="24"/>
          <w:lang w:val="en-US"/>
        </w:rPr>
        <w:t xml:space="preserve">sing Bloom's Taxonomy to prepare </w:t>
      </w:r>
      <w:r w:rsidR="00154F67" w:rsidRPr="008B76DC">
        <w:rPr>
          <w:rFonts w:ascii="Arial" w:hAnsi="Arial" w:cs="Arial"/>
          <w:sz w:val="24"/>
          <w:szCs w:val="24"/>
          <w:lang w:val="en-US"/>
        </w:rPr>
        <w:t xml:space="preserve">questions, </w:t>
      </w:r>
      <w:proofErr w:type="spellStart"/>
      <w:r w:rsidR="00154F67" w:rsidRPr="008B76DC">
        <w:rPr>
          <w:rFonts w:ascii="Arial" w:hAnsi="Arial" w:cs="Arial"/>
          <w:sz w:val="24"/>
          <w:szCs w:val="24"/>
          <w:lang w:val="en-US"/>
        </w:rPr>
        <w:t>Fernan</w:t>
      </w:r>
      <w:r w:rsidR="00757605" w:rsidRPr="008B76DC">
        <w:rPr>
          <w:rFonts w:ascii="Arial" w:hAnsi="Arial" w:cs="Arial"/>
          <w:sz w:val="24"/>
          <w:szCs w:val="24"/>
          <w:lang w:val="en-US"/>
        </w:rPr>
        <w:t>des</w:t>
      </w:r>
      <w:proofErr w:type="spellEnd"/>
      <w:r w:rsidR="00757605" w:rsidRPr="008B76DC">
        <w:rPr>
          <w:rFonts w:ascii="Arial" w:hAnsi="Arial" w:cs="Arial"/>
          <w:sz w:val="24"/>
          <w:szCs w:val="24"/>
          <w:lang w:val="en-US"/>
        </w:rPr>
        <w:t xml:space="preserve">, Borges and </w:t>
      </w:r>
      <w:proofErr w:type="spellStart"/>
      <w:r w:rsidR="00757605" w:rsidRPr="008B76DC">
        <w:rPr>
          <w:rFonts w:ascii="Arial" w:hAnsi="Arial" w:cs="Arial"/>
          <w:sz w:val="24"/>
          <w:szCs w:val="24"/>
          <w:lang w:val="en-US"/>
        </w:rPr>
        <w:t>Rodabaugh</w:t>
      </w:r>
      <w:proofErr w:type="spellEnd"/>
      <w:r w:rsidR="00757605"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983908" w:rsidRPr="008B76DC">
        <w:rPr>
          <w:rFonts w:ascii="Arial" w:hAnsi="Arial" w:cs="Arial"/>
          <w:sz w:val="24"/>
          <w:szCs w:val="24"/>
          <w:lang w:val="en-US"/>
        </w:rPr>
        <w:instrText>ADDIN CSL_CITATION { "citationItems" : [ { "id" : "ITEM-1", "itemData" : { "DOI" : "10.1007/s40037-012-0014-3", "ISSN" : "2212-2761", "PMID" : "23316464", "abstract" : "Medical schools universally accept the idea that bioethics courses are essential components of education, but few studies which measure outcomes (i.e., knowledge or retention) have demonstrated their educational value in the literature. The goal of this study was to examine whether core concepts of a pre-clinical bioethics course were learned and retained. Over the course of 2\u00a0years, a pre-test comprising 25 multiple-choice questions was administered to two classes (2008-2010) of first-year medical students prior to the start of a 15-week ethics course, and an identical post-test was administered at the end of the course. A total of 189 students participated. Paired t tests showed a significant difference between pre-test scores and post-test scores. The pre-test average score was 69.8\u00a0%, and the post-test average was 82.6\u00a0%, an increase of 12.9\u00a0% after the ethics course. The pre- and post-test results also suggested a shift in difficulty level of the questions, with students finding identical questions easier after the intervention. Given the increase in post-test scores after the 15-week intervention, the study suggests that core concepts in medical ethics were learned and retained. These results demonstrate that an introductory bioethics course can improve short-term outcomes in knowledge and comprehension, and should provide impetus to educators to demonstrate improved educational outcomes in ethics at higher levels of B.S. Bloom's Taxonomy of Learning.", "author" : [ { "dropping-particle" : "", "family" : "Fernandes", "given" : "Ashley K", "non-dropping-particle" : "", "parse-names" : false, "suffix" : "" }, { "dropping-particle" : "", "family" : "Borges", "given" : "Nicole", "non-dropping-particle" : "", "parse-names" : false, "suffix" : "" }, { "dropping-particle" : "", "family" : "Rodabaugh", "given" : "Heather", "non-dropping-particle" : "", "parse-names" : false, "suffix" : "" } ], "container-title" : "Perspectives on medical education", "id" : "ITEM-1", "issue" : "2", "issued" : { "date-parts" : [ [ "2012", "5" ] ] }, "page" : "92-7", "title" : "Measuring cognitive outcomes in a pre-clinical bioethics course.", "type" : "article-journal", "volume" : "1" }, "uris" : [ "http://www.mendeley.com/documents/?uuid=1f37f3a9-a8b9-4c39-a212-59d464088b9d" ] } ], "mendeley" : { "formattedCitation" : "&lt;sup&gt;26&lt;/sup&gt;", "plainTextFormattedCitation" : "26", "previouslyFormattedCitation" : "&lt;sup&gt;26&lt;/sup&gt;"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757605" w:rsidRPr="008B76DC">
        <w:rPr>
          <w:rFonts w:ascii="Arial" w:hAnsi="Arial" w:cs="Arial"/>
          <w:noProof/>
          <w:sz w:val="24"/>
          <w:szCs w:val="24"/>
          <w:vertAlign w:val="superscript"/>
          <w:lang w:val="en-US"/>
        </w:rPr>
        <w:t>26</w:t>
      </w:r>
      <w:r w:rsidR="00771EBF" w:rsidRPr="008B76DC">
        <w:rPr>
          <w:rFonts w:ascii="Arial" w:hAnsi="Arial" w:cs="Arial"/>
          <w:sz w:val="24"/>
          <w:szCs w:val="24"/>
          <w:lang w:val="en-US"/>
        </w:rPr>
        <w:fldChar w:fldCharType="end"/>
      </w:r>
      <w:r w:rsidR="00154F67" w:rsidRPr="008B76DC">
        <w:rPr>
          <w:rFonts w:ascii="Arial" w:hAnsi="Arial" w:cs="Arial"/>
          <w:sz w:val="24"/>
          <w:szCs w:val="24"/>
          <w:lang w:val="en-US"/>
        </w:rPr>
        <w:t xml:space="preserve"> also showed a statistically significant difference in the pe</w:t>
      </w:r>
      <w:r w:rsidR="00416073" w:rsidRPr="008B76DC">
        <w:rPr>
          <w:rFonts w:ascii="Arial" w:hAnsi="Arial" w:cs="Arial"/>
          <w:sz w:val="24"/>
          <w:szCs w:val="24"/>
          <w:lang w:val="en-US"/>
        </w:rPr>
        <w:t xml:space="preserve">rformance of pre and post-tests </w:t>
      </w:r>
      <w:r w:rsidR="00154F67" w:rsidRPr="008B76DC">
        <w:rPr>
          <w:rFonts w:ascii="Arial" w:hAnsi="Arial" w:cs="Arial"/>
          <w:sz w:val="24"/>
          <w:szCs w:val="24"/>
          <w:lang w:val="en-US"/>
        </w:rPr>
        <w:t>applied to medical students in the discipline of Bioethics (increase of 12.9%).</w:t>
      </w:r>
    </w:p>
    <w:p w:rsidR="006C0A12" w:rsidRPr="008B76DC" w:rsidRDefault="001F4C97"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During</w:t>
      </w:r>
      <w:r w:rsidR="00C03B8A" w:rsidRPr="008B76DC">
        <w:rPr>
          <w:rFonts w:ascii="Arial" w:hAnsi="Arial" w:cs="Arial"/>
          <w:sz w:val="24"/>
          <w:szCs w:val="24"/>
          <w:lang w:val="en-US"/>
        </w:rPr>
        <w:t xml:space="preserve"> the 50 years since its publication, Bloom's Taxonomy has become widely cited and infl</w:t>
      </w:r>
      <w:r w:rsidR="008E3724" w:rsidRPr="008B76DC">
        <w:rPr>
          <w:rFonts w:ascii="Arial" w:hAnsi="Arial" w:cs="Arial"/>
          <w:sz w:val="24"/>
          <w:szCs w:val="24"/>
          <w:lang w:val="en-US"/>
        </w:rPr>
        <w:t>uential in education</w:t>
      </w:r>
      <w:r w:rsidR="00771EBF" w:rsidRPr="008B76DC">
        <w:rPr>
          <w:rFonts w:ascii="Arial" w:hAnsi="Arial" w:cs="Arial"/>
          <w:sz w:val="24"/>
          <w:szCs w:val="24"/>
          <w:lang w:val="en-US"/>
        </w:rPr>
        <w:fldChar w:fldCharType="begin" w:fldLock="1"/>
      </w:r>
      <w:r w:rsidR="00983908" w:rsidRPr="008B76DC">
        <w:rPr>
          <w:rFonts w:ascii="Arial" w:hAnsi="Arial" w:cs="Arial"/>
          <w:sz w:val="24"/>
          <w:szCs w:val="24"/>
          <w:lang w:val="en-US"/>
        </w:rPr>
        <w:instrText>ADDIN CSL_CITATION { "citationItems" : [ { "id" : "ITEM-1", "itemData" : { "author" : [ { "dropping-particle" : "", "family" : "ANDERSON, L.W.; KRATHWOHL", "given" : "David R.", "non-dropping-particle" : "", "parse-names" : false, "suffix" : "" } ], "id" : "ITEM-1", "issued" : { "date-parts" : [ [ "2001" ] ] }, "publisher" : "Addison Wesley Longman", "publisher-place" : "New York", "title" : "A taxonomy for learning, teaching and assessing: a revision of Bloom\u2019s Taxonomy of Educational Objectives", "type" : "book" }, "uris" : [ "http://www.mendeley.com/documents/?uuid=00673ddb-146a-43c6-b7cc-6fd89549a196" ] } ], "mendeley" : { "formattedCitation" : "&lt;sup&gt;12&lt;/sup&gt;", "plainTextFormattedCitation" : "12", "previouslyFormattedCitation" : "&lt;sup&gt;12&lt;/sup&gt;"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983908" w:rsidRPr="008B76DC">
        <w:rPr>
          <w:rFonts w:ascii="Arial" w:hAnsi="Arial" w:cs="Arial"/>
          <w:noProof/>
          <w:sz w:val="24"/>
          <w:szCs w:val="24"/>
          <w:vertAlign w:val="superscript"/>
          <w:lang w:val="en-US"/>
        </w:rPr>
        <w:t>12</w:t>
      </w:r>
      <w:r w:rsidR="00771EBF" w:rsidRPr="008B76DC">
        <w:rPr>
          <w:rFonts w:ascii="Arial" w:hAnsi="Arial" w:cs="Arial"/>
          <w:sz w:val="24"/>
          <w:szCs w:val="24"/>
          <w:lang w:val="en-US"/>
        </w:rPr>
        <w:fldChar w:fldCharType="end"/>
      </w:r>
      <w:r w:rsidR="00C03B8A" w:rsidRPr="008B76DC">
        <w:rPr>
          <w:rFonts w:ascii="Arial" w:hAnsi="Arial" w:cs="Arial"/>
          <w:sz w:val="24"/>
          <w:szCs w:val="24"/>
          <w:lang w:val="en-US"/>
        </w:rPr>
        <w:t xml:space="preserve"> as a useful tool to identify levels of cognitive processing of goals and assessments, independently of the type of evaluation.</w:t>
      </w:r>
      <w:r w:rsidR="006C0A12" w:rsidRPr="008B76DC">
        <w:rPr>
          <w:rFonts w:ascii="Arial" w:hAnsi="Arial" w:cs="Arial"/>
          <w:sz w:val="24"/>
          <w:szCs w:val="24"/>
          <w:lang w:val="en-US"/>
        </w:rPr>
        <w:t xml:space="preserve">  </w:t>
      </w:r>
      <w:r w:rsidR="005C5543" w:rsidRPr="008B76DC">
        <w:rPr>
          <w:rFonts w:ascii="Arial" w:hAnsi="Arial" w:cs="Arial"/>
          <w:sz w:val="24"/>
          <w:szCs w:val="24"/>
          <w:lang w:val="en-US"/>
        </w:rPr>
        <w:t xml:space="preserve">Bloom's Taxonomy is </w:t>
      </w:r>
      <w:r w:rsidR="00DC661D" w:rsidRPr="008B76DC">
        <w:rPr>
          <w:rFonts w:ascii="Arial" w:hAnsi="Arial" w:cs="Arial"/>
          <w:sz w:val="24"/>
          <w:szCs w:val="24"/>
          <w:lang w:val="en-US"/>
        </w:rPr>
        <w:t>an accessible tool scientist</w:t>
      </w:r>
      <w:r w:rsidR="00983908" w:rsidRPr="008B76DC">
        <w:rPr>
          <w:rFonts w:ascii="Arial" w:hAnsi="Arial" w:cs="Arial"/>
          <w:sz w:val="24"/>
          <w:szCs w:val="24"/>
          <w:lang w:val="en-US"/>
        </w:rPr>
        <w:t xml:space="preserve"> can use easily</w:t>
      </w:r>
      <w:r w:rsidR="006C0A12"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E66563" w:rsidRPr="008B76DC">
        <w:rPr>
          <w:rFonts w:ascii="Arial" w:hAnsi="Arial" w:cs="Arial"/>
          <w:sz w:val="24"/>
          <w:szCs w:val="24"/>
          <w:lang w:val="en-US"/>
        </w:rPr>
        <w:instrText>ADDIN CSL_CITATION { "citationItems" : [ { "id" : "ITEM-1", "itemData" : { "DOI" : "10.1187/cbe.08", "author" : [ { "dropping-particle" : "", "family" : "Crowe", "given" : "Alison", "non-dropping-particle" : "", "parse-names" : false, "suffix" : "" }, { "dropping-particle" : "", "family" : "Dirks", "given" : "Clarissa", "non-dropping-particle" : "", "parse-names" : false, "suffix" : "" }, { "dropping-particle" : "", "family" : "Wenderoth", "given" : "Mary Pat", "non-dropping-particle" : "", "parse-names" : false, "suffix" : "" } ], "id" : "ITEM-1", "issued" : { "date-parts" : [ [ "2008" ] ] }, "page" : "368-381", "title" : "Biology in Bloom : Implementing Bloom \u2019 s Taxonomy to Enhance Student Learning in Biology", "type" : "article-journal", "volume" : "7" }, "uris" : [ "http://www.mendeley.com/documents/?uuid=78eb5d7a-6cd1-4fb8-8534-e9db0290acab" ] } ], "mendeley" : { "formattedCitation" : "&lt;sup&gt;27&lt;/sup&gt;", "plainTextFormattedCitation" : "27", "previouslyFormattedCitation" : "&lt;sup&gt;27&lt;/sup&gt;"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983908" w:rsidRPr="008B76DC">
        <w:rPr>
          <w:rFonts w:ascii="Arial" w:hAnsi="Arial" w:cs="Arial"/>
          <w:noProof/>
          <w:sz w:val="24"/>
          <w:szCs w:val="24"/>
          <w:vertAlign w:val="superscript"/>
          <w:lang w:val="en-US"/>
        </w:rPr>
        <w:t>27</w:t>
      </w:r>
      <w:r w:rsidR="00771EBF" w:rsidRPr="008B76DC">
        <w:rPr>
          <w:rFonts w:ascii="Arial" w:hAnsi="Arial" w:cs="Arial"/>
          <w:sz w:val="24"/>
          <w:szCs w:val="24"/>
          <w:lang w:val="en-US"/>
        </w:rPr>
        <w:fldChar w:fldCharType="end"/>
      </w:r>
    </w:p>
    <w:p w:rsidR="00D86AF2" w:rsidRPr="008B76DC" w:rsidRDefault="00B10E09"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 xml:space="preserve">The cognitive domain of Bloom's Taxonomy has been well </w:t>
      </w:r>
      <w:r w:rsidR="00E66563" w:rsidRPr="008B76DC">
        <w:rPr>
          <w:rFonts w:ascii="Arial" w:hAnsi="Arial" w:cs="Arial"/>
          <w:sz w:val="24"/>
          <w:szCs w:val="24"/>
          <w:lang w:val="en-US"/>
        </w:rPr>
        <w:t>explained and cited in articles</w:t>
      </w:r>
      <w:r w:rsidR="00CE1253"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E66563" w:rsidRPr="008B76DC">
        <w:rPr>
          <w:rFonts w:ascii="Arial" w:hAnsi="Arial" w:cs="Arial"/>
          <w:sz w:val="24"/>
          <w:szCs w:val="24"/>
          <w:lang w:val="en-US"/>
        </w:rPr>
        <w:instrText>ADDIN CSL_CITATION { "citationItems" : [ { "id" : "ITEM-1", "itemData" : { "author" : [ { "dropping-particle" : "", "family" : "SEDDON", "given" : "G.", "non-dropping-particle" : "", "parse-names" : false, "suffix" : "" } ], "container-title" : "Rev Educ Res.", "id" : "ITEM-1", "issue" : "2", "issued" : { "date-parts" : [ [ "1978" ] ] }, "page" : "303", "title" : "The properties of Bloom\u2019s taxonomy of educational objectives for the cognitive domain", "type" : "article-journal", "volume" : "48" }, "uris" : [ "http://www.mendeley.com/documents/?uuid=71e65a78-1074-49f0-8ddd-28d030472cf6" ] } ], "mendeley" : { "formattedCitation" : "&lt;sup&gt;28&lt;/sup&gt;", "plainTextFormattedCitation" : "28", "previouslyFormattedCitation" : "&lt;sup&gt;28&lt;/sup&gt;"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E66563" w:rsidRPr="008B76DC">
        <w:rPr>
          <w:rFonts w:ascii="Arial" w:hAnsi="Arial" w:cs="Arial"/>
          <w:noProof/>
          <w:sz w:val="24"/>
          <w:szCs w:val="24"/>
          <w:vertAlign w:val="superscript"/>
          <w:lang w:val="en-US"/>
        </w:rPr>
        <w:t>28</w:t>
      </w:r>
      <w:r w:rsidR="00771EBF" w:rsidRPr="008B76DC">
        <w:rPr>
          <w:rFonts w:ascii="Arial" w:hAnsi="Arial" w:cs="Arial"/>
          <w:sz w:val="24"/>
          <w:szCs w:val="24"/>
          <w:lang w:val="en-US"/>
        </w:rPr>
        <w:fldChar w:fldCharType="end"/>
      </w:r>
      <w:r w:rsidR="00771EBF" w:rsidRPr="008B76DC">
        <w:rPr>
          <w:rFonts w:ascii="Arial" w:hAnsi="Arial" w:cs="Arial"/>
          <w:sz w:val="24"/>
          <w:szCs w:val="24"/>
          <w:lang w:val="en-US"/>
        </w:rPr>
        <w:fldChar w:fldCharType="begin" w:fldLock="1"/>
      </w:r>
      <w:r w:rsidR="009B4545" w:rsidRPr="008B76DC">
        <w:rPr>
          <w:rFonts w:ascii="Arial" w:hAnsi="Arial" w:cs="Arial"/>
          <w:sz w:val="24"/>
          <w:szCs w:val="24"/>
          <w:lang w:val="en-US"/>
        </w:rPr>
        <w:instrText>ADDIN CSL_CITATION { "citationItems" : [ { "id" : "ITEM-1", "itemData" : { "DOI" : "10.3138/jvme.31.3.261", "ISBN" : "0748-321X (Print)\\r0748-321X (Linking)", "ISSN" : "0748-321X", "PMID" : "15510341", "abstract" : "The cognitive level of short essay questions taken from assessments of two veterinary courses at the Faculty of Veterinary Medicine of Utrecht University (FVMU) was evaluated using a simplified classification tool based on the taxonomy of Bloom. Classifications were made by teaching staff members (subject matter experts, or SME) and by faculty members not involved in teaching the course (non-subject matter experts, or NSME). To compare the cognitive level assigned by raters in the SME group to that assigned by the NSME group, each test item was assigned a modal taxonomic level. The results indicate that the agreement level between a pair of raters within a group (SME or NSME) differed (34% to 77% and linear weighted Cohen's kappa coefficient 0.12 to 0.60). The agreement level on the modal taxonomic level between the SME and NSME groups for the two courses was 65% and 73%, with a linear weighted Cohen's kappa coefficient of 0.43 and 0.63 respectively. The requirement of expertise of a subject for classification is discussed. The introduction of the classification tool had a positive effect on teaching staff members' awareness of the importance of the cognitive level of assessments. Improvements to the classification tool to obtain higher agreement levels are proposed.", "author" : [ { "dropping-particle" : "", "family" : "Hoeij", "given" : "Maggy J W", "non-dropping-particle" : "van", "parse-names" : false, "suffix" : "" }, { "dropping-particle" : "", "family" : "Haarhuis", "given" : "Jan C M", "non-dropping-particle" : "", "parse-names" : false, "suffix" : "" }, { "dropping-particle" : "", "family" : "Wierstra", "given" : "Ronny F a", "non-dropping-particle" : "", "parse-names" : false, "suffix" : "" }, { "dropping-particle" : "", "family" : "Beukelen", "given" : "Peter", "non-dropping-particle" : "van", "parse-names" : false, "suffix" : "" } ], "container-title" : "Journal of veterinary medical education", "id" : "ITEM-1", "issue" : "3", "issued" : { "date-parts" : [ [ "2004" ] ] }, "page" : "261-267", "title" : "Developing a classification tool based on Bloom's taxonomy to assess the cognitive level of short essay questions.", "type" : "article-journal", "volume" : "31" }, "uris" : [ "http://www.mendeley.com/documents/?uuid=271bf1dc-8270-429b-a0d2-edd5b72d1cf7" ] } ], "mendeley" : { "formattedCitation" : "&lt;sup&gt;29&lt;/sup&gt;", "plainTextFormattedCitation" : "29", "previouslyFormattedCitation" : "&lt;sup&gt;29&lt;/sup&gt;"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E66563" w:rsidRPr="008B76DC">
        <w:rPr>
          <w:rFonts w:ascii="Arial" w:hAnsi="Arial" w:cs="Arial"/>
          <w:noProof/>
          <w:sz w:val="24"/>
          <w:szCs w:val="24"/>
          <w:vertAlign w:val="superscript"/>
          <w:lang w:val="en-US"/>
        </w:rPr>
        <w:t>29</w:t>
      </w:r>
      <w:r w:rsidR="00771EBF" w:rsidRPr="008B76DC">
        <w:rPr>
          <w:rFonts w:ascii="Arial" w:hAnsi="Arial" w:cs="Arial"/>
          <w:sz w:val="24"/>
          <w:szCs w:val="24"/>
          <w:lang w:val="en-US"/>
        </w:rPr>
        <w:fldChar w:fldCharType="end"/>
      </w:r>
    </w:p>
    <w:p w:rsidR="001A0632" w:rsidRPr="008B76DC" w:rsidRDefault="005A1F04"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Learning goals were developed for all studied clinical cases and related to questions that have also been developed based on Bloom's Taxonomy, revised by Anderson and Krathwohl</w:t>
      </w:r>
      <w:r w:rsidR="00A23AA7"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9B4545" w:rsidRPr="008B76DC">
        <w:rPr>
          <w:rFonts w:ascii="Arial" w:hAnsi="Arial" w:cs="Arial"/>
          <w:sz w:val="24"/>
          <w:szCs w:val="24"/>
          <w:lang w:val="en-US"/>
        </w:rPr>
        <w:instrText>ADDIN CSL_CITATION { "citationItems" : [ { "id" : "ITEM-1", "itemData" : { "author" : [ { "dropping-particle" : "", "family" : "ANDERSON, L.W.; KRATHWOHL", "given" : "David R.", "non-dropping-particle" : "", "parse-names" : false, "suffix" : "" } ], "id" : "ITEM-1", "issued" : { "date-parts" : [ [ "2001" ] ] }, "publisher" : "Addison Wesley Longman", "publisher-place" : "New York", "title" : "A taxonomy for learning, teaching and assessing: a revision of Bloom\u2019s Taxonomy of Educational Objectives", "type" : "book" }, "uris" : [ "http://www.mendeley.com/documents/?uuid=00673ddb-146a-43c6-b7cc-6fd89549a196" ] } ], "mendeley" : { "formattedCitation" : "&lt;sup&gt;12&lt;/sup&gt;", "plainTextFormattedCitation" : "12", "previouslyFormattedCitation" : "&lt;sup&gt;12&lt;/sup&gt;"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9B4545" w:rsidRPr="008B76DC">
        <w:rPr>
          <w:rFonts w:ascii="Arial" w:hAnsi="Arial" w:cs="Arial"/>
          <w:noProof/>
          <w:sz w:val="24"/>
          <w:szCs w:val="24"/>
          <w:vertAlign w:val="superscript"/>
          <w:lang w:val="en-US"/>
        </w:rPr>
        <w:t>12</w:t>
      </w:r>
      <w:r w:rsidR="00771EBF" w:rsidRPr="008B76DC">
        <w:rPr>
          <w:rFonts w:ascii="Arial" w:hAnsi="Arial" w:cs="Arial"/>
          <w:sz w:val="24"/>
          <w:szCs w:val="24"/>
          <w:lang w:val="en-US"/>
        </w:rPr>
        <w:fldChar w:fldCharType="end"/>
      </w:r>
      <w:r w:rsidR="00A23AA7" w:rsidRPr="008B76DC">
        <w:rPr>
          <w:rFonts w:ascii="Arial" w:hAnsi="Arial" w:cs="Arial"/>
          <w:sz w:val="24"/>
          <w:szCs w:val="24"/>
          <w:lang w:val="en-US"/>
        </w:rPr>
        <w:t xml:space="preserve"> </w:t>
      </w:r>
      <w:r w:rsidRPr="008B76DC">
        <w:rPr>
          <w:rFonts w:ascii="Arial" w:hAnsi="Arial" w:cs="Arial"/>
          <w:sz w:val="24"/>
          <w:szCs w:val="24"/>
          <w:lang w:val="en-US"/>
        </w:rPr>
        <w:t>In practice, the design of a good discipline needs to align the discipline goals, asse</w:t>
      </w:r>
      <w:r w:rsidR="009B4545" w:rsidRPr="008B76DC">
        <w:rPr>
          <w:rFonts w:ascii="Arial" w:hAnsi="Arial" w:cs="Arial"/>
          <w:sz w:val="24"/>
          <w:szCs w:val="24"/>
          <w:lang w:val="en-US"/>
        </w:rPr>
        <w:t>ssments and learning activities</w:t>
      </w:r>
      <w:r w:rsidR="006C0A12"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9B4545" w:rsidRPr="008B76DC">
        <w:rPr>
          <w:rFonts w:ascii="Arial" w:hAnsi="Arial" w:cs="Arial"/>
          <w:sz w:val="24"/>
          <w:szCs w:val="24"/>
          <w:lang w:val="en-US"/>
        </w:rPr>
        <w:instrText>ADDIN CSL_CITATION { "citationItems" : [ { "id" : "ITEM-1", "itemData" : { "DOI" : "10.1187/cbe.04-07-0050", "ISBN" : "1536-7509 (Electronic)", "ISSN" : "1931-7913", "PMID" : "15592590", "abstract" : "Teachers aspire to have all of their students learn. This aspiration of reaching all students spans disciplines, age levels, and all varieties of institutions. Most teachers do so out of a genuine love for their discipline and a desire to share the wonder of their chosen field with others. Science teaching is no different than other disciplines in this respect. However, try as we may in science, the lack of diversity apparent in the statistics of who chooses to pursue scientific disciplines professionally suggests that we still have much to learn about how to reach all students.", "author" : [ { "dropping-particle" : "", "family" : "Tanner", "given" : "Kimberly", "non-dropping-particle" : "", "parse-names" : false, "suffix" : "" }, { "dropping-particle" : "", "family" : "Allen", "given" : "Deborah", "non-dropping-particle" : "", "parse-names" : false, "suffix" : "" } ], "container-title" : "Cell Biology Education", "id" : "ITEM-1", "issue" : "4", "issued" : { "date-parts" : [ [ "2004" ] ] }, "page" : "197-201", "title" : "Approaches to Biology Teaching and Learning: Learning Styles and the Problem of Instructional Selection--Engaging All Students in Science Courses", "type" : "article-journal", "volume" : "3" }, "uris" : [ "http://www.mendeley.com/documents/?uuid=807330f2-31cb-4e9e-9ef0-539b1bd2e5cd" ] } ], "mendeley" : { "formattedCitation" : "&lt;sup&gt;30&lt;/sup&gt;", "plainTextFormattedCitation" : "30", "previouslyFormattedCitation" : "&lt;sup&gt;30&lt;/sup&gt;"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9B4545" w:rsidRPr="008B76DC">
        <w:rPr>
          <w:rFonts w:ascii="Arial" w:hAnsi="Arial" w:cs="Arial"/>
          <w:noProof/>
          <w:sz w:val="24"/>
          <w:szCs w:val="24"/>
          <w:vertAlign w:val="superscript"/>
          <w:lang w:val="en-US"/>
        </w:rPr>
        <w:t>30</w:t>
      </w:r>
      <w:r w:rsidR="00771EBF" w:rsidRPr="008B76DC">
        <w:rPr>
          <w:rFonts w:ascii="Arial" w:hAnsi="Arial" w:cs="Arial"/>
          <w:sz w:val="24"/>
          <w:szCs w:val="24"/>
          <w:lang w:val="en-US"/>
        </w:rPr>
        <w:fldChar w:fldCharType="end"/>
      </w:r>
      <w:r w:rsidR="00771EBF" w:rsidRPr="008B76DC">
        <w:rPr>
          <w:rFonts w:ascii="Arial" w:hAnsi="Arial" w:cs="Arial"/>
          <w:sz w:val="24"/>
          <w:szCs w:val="24"/>
          <w:lang w:val="en-US"/>
        </w:rPr>
        <w:fldChar w:fldCharType="begin" w:fldLock="1"/>
      </w:r>
      <w:r w:rsidR="00EF52D2" w:rsidRPr="008B76DC">
        <w:rPr>
          <w:rFonts w:ascii="Arial" w:hAnsi="Arial" w:cs="Arial"/>
          <w:sz w:val="24"/>
          <w:szCs w:val="24"/>
          <w:lang w:val="en-US"/>
        </w:rPr>
        <w:instrText>ADDIN CSL_CITATION { "citationItems" : [ { "id" : "ITEM-1", "itemData" : { "URL" : "&lt; http://www.ascd.org/ascd/pdf/siteascd/publications/books/dg2-sample-chapters.pdf", "author" : [ { "dropping-particle" : "", "family" : "WIGGINS, G.P.; MCTIGHE", "given" : "J.", "non-dropping-particle" : "", "parse-names" : false, "suffix" : "" } ], "id" : "ITEM-1", "issued" : { "date-parts" : [ [ "2012" ] ] }, "title" : "The Understanding by design guide to advanced concepts in creating and reviewing units. United States of America: ASCD", "type" : "webpage" }, "uris" : [ "http://www.mendeley.com/documents/?uuid=65d2d897-4581-448d-89ba-a59baefd18fb" ] } ], "mendeley" : { "formattedCitation" : "&lt;sup&gt;31&lt;/sup&gt;", "plainTextFormattedCitation" : "31", "previouslyFormattedCitation" : "&lt;sup&gt;31&lt;/sup&gt;"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9B4545" w:rsidRPr="008B76DC">
        <w:rPr>
          <w:rFonts w:ascii="Arial" w:hAnsi="Arial" w:cs="Arial"/>
          <w:noProof/>
          <w:sz w:val="24"/>
          <w:szCs w:val="24"/>
          <w:vertAlign w:val="superscript"/>
          <w:lang w:val="en-US"/>
        </w:rPr>
        <w:t>31</w:t>
      </w:r>
      <w:r w:rsidR="00771EBF" w:rsidRPr="008B76DC">
        <w:rPr>
          <w:rFonts w:ascii="Arial" w:hAnsi="Arial" w:cs="Arial"/>
          <w:sz w:val="24"/>
          <w:szCs w:val="24"/>
          <w:lang w:val="en-US"/>
        </w:rPr>
        <w:fldChar w:fldCharType="end"/>
      </w:r>
    </w:p>
    <w:p w:rsidR="006C0A12" w:rsidRPr="008B76DC" w:rsidRDefault="000F7AB5"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Honey and Mumford</w:t>
      </w:r>
      <w:r w:rsidR="00EF52D2"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EF52D2" w:rsidRPr="008B76DC">
        <w:rPr>
          <w:rFonts w:ascii="Arial" w:hAnsi="Arial" w:cs="Arial"/>
          <w:sz w:val="24"/>
          <w:szCs w:val="24"/>
          <w:lang w:val="en-US"/>
        </w:rPr>
        <w:instrText>ADDIN CSL_CITATION { "citationItems" : [ { "id" : "ITEM-1", "itemData" : { "author" : [ { "dropping-particle" : "", "family" : "HONEY, P.; MUMFORD", "given" : "A", "non-dropping-particle" : "", "parse-names" : false, "suffix" : "" } ], "id" : "ITEM-1", "issued" : { "date-parts" : [ [ "1986" ] ] }, "publisher" : "Peter Honey", "publisher-place" : "Berkshire, U.K.", "title" : "Using our learning styles.", "type" : "book" }, "uris" : [ "http://www.mendeley.com/documents/?uuid=a2495e0e-cd62-4f4f-9b4d-aab3d3f77834" ] } ], "mendeley" : { "formattedCitation" : "&lt;sup&gt;32&lt;/sup&gt;", "plainTextFormattedCitation" : "32", "previouslyFormattedCitation" : "&lt;sup&gt;32&lt;/sup&gt;"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EF52D2" w:rsidRPr="008B76DC">
        <w:rPr>
          <w:rFonts w:ascii="Arial" w:hAnsi="Arial" w:cs="Arial"/>
          <w:noProof/>
          <w:sz w:val="24"/>
          <w:szCs w:val="24"/>
          <w:vertAlign w:val="superscript"/>
          <w:lang w:val="en-US"/>
        </w:rPr>
        <w:t>32</w:t>
      </w:r>
      <w:r w:rsidR="00771EBF" w:rsidRPr="008B76DC">
        <w:rPr>
          <w:rFonts w:ascii="Arial" w:hAnsi="Arial" w:cs="Arial"/>
          <w:sz w:val="24"/>
          <w:szCs w:val="24"/>
          <w:lang w:val="en-US"/>
        </w:rPr>
        <w:fldChar w:fldCharType="end"/>
      </w:r>
      <w:r w:rsidR="00EF52D2" w:rsidRPr="008B76DC">
        <w:rPr>
          <w:rFonts w:ascii="Arial" w:hAnsi="Arial" w:cs="Arial"/>
          <w:sz w:val="24"/>
          <w:szCs w:val="24"/>
          <w:lang w:val="en-US"/>
        </w:rPr>
        <w:t xml:space="preserve"> </w:t>
      </w:r>
      <w:r w:rsidRPr="008B76DC">
        <w:rPr>
          <w:rFonts w:ascii="Arial" w:hAnsi="Arial" w:cs="Arial"/>
          <w:sz w:val="24"/>
          <w:szCs w:val="24"/>
          <w:lang w:val="en-US"/>
        </w:rPr>
        <w:t>agree with Bloom</w:t>
      </w:r>
      <w:r w:rsidR="00EF52D2" w:rsidRPr="008B76DC">
        <w:rPr>
          <w:rFonts w:ascii="Arial" w:hAnsi="Arial" w:cs="Arial"/>
          <w:sz w:val="24"/>
          <w:szCs w:val="24"/>
          <w:lang w:val="en-US"/>
        </w:rPr>
        <w:t xml:space="preserve"> </w:t>
      </w:r>
      <w:r w:rsidR="00771EBF" w:rsidRPr="008B76DC">
        <w:rPr>
          <w:rFonts w:ascii="Arial" w:hAnsi="Arial" w:cs="Arial"/>
          <w:sz w:val="24"/>
          <w:szCs w:val="24"/>
          <w:lang w:val="en-US"/>
        </w:rPr>
        <w:fldChar w:fldCharType="begin" w:fldLock="1"/>
      </w:r>
      <w:r w:rsidR="00EF52D2" w:rsidRPr="008B76DC">
        <w:rPr>
          <w:rFonts w:ascii="Arial" w:hAnsi="Arial" w:cs="Arial"/>
          <w:sz w:val="24"/>
          <w:szCs w:val="24"/>
          <w:lang w:val="en-US"/>
        </w:rPr>
        <w:instrText>ADDIN CSL_CITATION { "citationItems" : [ { "id" : "ITEM-1", "itemData" : { "author" : [ { "dropping-particle" : "", "family" : "BLOOM, B.S.", "given" : "et al.", "non-dropping-particle" : "", "parse-names" : false, "suffix" : "" } ], "id" : "ITEM-1", "issued" : { "date-parts" : [ [ "1956" ] ] }, "publisher" : "Longman", "publisher-place" : "New York", "title" : "Taxonomy of Educational Objectives: The classification of Educational Goals. Handbook I: Cognitive Domain", "type" : "book" }, "uris" : [ "http://www.mendeley.com/documents/?uuid=e5d657fb-8a5d-4cb0-934d-d3511c79f3b0" ] } ], "mendeley" : { "formattedCitation" : "&lt;sup&gt;9&lt;/sup&gt;", "plainTextFormattedCitation" : "9", "previouslyFormattedCitation" : "&lt;sup&gt;9&lt;/sup&gt;"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EF52D2" w:rsidRPr="008B76DC">
        <w:rPr>
          <w:rFonts w:ascii="Arial" w:hAnsi="Arial" w:cs="Arial"/>
          <w:noProof/>
          <w:sz w:val="24"/>
          <w:szCs w:val="24"/>
          <w:vertAlign w:val="superscript"/>
          <w:lang w:val="en-US"/>
        </w:rPr>
        <w:t>9</w:t>
      </w:r>
      <w:r w:rsidR="00771EBF" w:rsidRPr="008B76DC">
        <w:rPr>
          <w:rFonts w:ascii="Arial" w:hAnsi="Arial" w:cs="Arial"/>
          <w:sz w:val="24"/>
          <w:szCs w:val="24"/>
          <w:lang w:val="en-US"/>
        </w:rPr>
        <w:fldChar w:fldCharType="end"/>
      </w:r>
      <w:r w:rsidR="00EF52D2" w:rsidRPr="008B76DC">
        <w:rPr>
          <w:rFonts w:ascii="Arial" w:hAnsi="Arial" w:cs="Arial"/>
          <w:sz w:val="24"/>
          <w:szCs w:val="24"/>
          <w:lang w:val="en-US"/>
        </w:rPr>
        <w:t xml:space="preserve"> </w:t>
      </w:r>
      <w:r w:rsidRPr="008B76DC">
        <w:rPr>
          <w:rFonts w:ascii="Arial" w:hAnsi="Arial" w:cs="Arial"/>
          <w:sz w:val="24"/>
          <w:szCs w:val="24"/>
          <w:lang w:val="en-US"/>
        </w:rPr>
        <w:t xml:space="preserve">to use different teaching methods ensuring higher levels of the cognitive domain. </w:t>
      </w:r>
      <w:r w:rsidR="008A5326" w:rsidRPr="008B76DC">
        <w:rPr>
          <w:rFonts w:ascii="Arial" w:hAnsi="Arial" w:cs="Arial"/>
          <w:sz w:val="24"/>
          <w:szCs w:val="24"/>
          <w:lang w:val="en-US"/>
        </w:rPr>
        <w:t>Any teacher who works in higher education and is aware of Bloom's Taxonomy when formulating his or her teaching strategy will be successful</w:t>
      </w:r>
      <w:r w:rsidR="006C0A12"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D46482" w:rsidRPr="008B76DC">
        <w:rPr>
          <w:rFonts w:ascii="Arial" w:hAnsi="Arial" w:cs="Arial"/>
          <w:sz w:val="24"/>
          <w:szCs w:val="24"/>
          <w:lang w:val="en-US"/>
        </w:rPr>
        <w:instrText>ADDIN CSL_CITATION { "citationItems" : [ { "id" : "ITEM-1", "itemData" : { "DOI" : "10.1016/j.cptl.2010.10.002", "ISBN" : "1877-1297", "ISSN" : "18771297", "abstract" : "Law and ethics share many common characteristics while fulfilling separate functions in the regulation of pharmacists' behavior. In pharmacy education, Law and Ethics, as a subject, has traditionally been taught didactically as if it comprised solely a set of specific rules to be learned and obeyed. Although pharmacy law is largely that, ethics is a more cerebral subject that is amenable to several different teaching styles. Law, Ethics, and Professionalism is a module delivered as part of the Master of Pharmacy program at the University of Hertfordshire, UK. This module endeavors to use diverse teaching and learning styles from different levels of Bloom's eponymous taxonomy with a view to educating pharmacists who are more ethically aware. ?? 2011 Elsevier Inc.", "author" : [ { "dropping-particle" : "", "family" : "Gallagher", "given" : "Cathal T.", "non-dropping-particle" : "", "parse-names" : false, "suffix" : "" } ], "container-title" : "Currents in Pharmacy Teaching and Learning", "id" : "ITEM-1", "issue" : "1", "issued" : { "date-parts" : [ [ "2011" ] ] }, "page" : "71-76", "publisher" : "Elsevier Inc.", "title" : "Building on Bloom: A paradigm for teaching pharmacy law and ethics from the UK", "type" : "article-journal", "volume" : "3" }, "uris" : [ "http://www.mendeley.com/documents/?uuid=5c73d1c5-3aa0-4c16-8458-81efdd3c718e" ] } ], "mendeley" : { "formattedCitation" : "&lt;sup&gt;33&lt;/sup&gt;", "plainTextFormattedCitation" : "33", "previouslyFormattedCitation" : "&lt;sup&gt;33&lt;/sup&gt;"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EF52D2" w:rsidRPr="008B76DC">
        <w:rPr>
          <w:rFonts w:ascii="Arial" w:hAnsi="Arial" w:cs="Arial"/>
          <w:noProof/>
          <w:sz w:val="24"/>
          <w:szCs w:val="24"/>
          <w:vertAlign w:val="superscript"/>
          <w:lang w:val="en-US"/>
        </w:rPr>
        <w:t>33</w:t>
      </w:r>
      <w:r w:rsidR="00771EBF" w:rsidRPr="008B76DC">
        <w:rPr>
          <w:rFonts w:ascii="Arial" w:hAnsi="Arial" w:cs="Arial"/>
          <w:sz w:val="24"/>
          <w:szCs w:val="24"/>
          <w:lang w:val="en-US"/>
        </w:rPr>
        <w:fldChar w:fldCharType="end"/>
      </w:r>
    </w:p>
    <w:p w:rsidR="00BB36AA" w:rsidRPr="008B76DC" w:rsidRDefault="003527A3"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lastRenderedPageBreak/>
        <w:t>A well-</w:t>
      </w:r>
      <w:r w:rsidR="008B2CD7" w:rsidRPr="008B76DC">
        <w:rPr>
          <w:rFonts w:ascii="Arial" w:hAnsi="Arial" w:cs="Arial"/>
          <w:sz w:val="24"/>
          <w:szCs w:val="24"/>
          <w:lang w:val="en-US"/>
        </w:rPr>
        <w:t>formulated multiple choice question is superior compared to an open question when testing higher cognitive skills of undergraduate students in medicine in a probl</w:t>
      </w:r>
      <w:r w:rsidR="00D46482" w:rsidRPr="008B76DC">
        <w:rPr>
          <w:rFonts w:ascii="Arial" w:hAnsi="Arial" w:cs="Arial"/>
          <w:sz w:val="24"/>
          <w:szCs w:val="24"/>
          <w:lang w:val="en-US"/>
        </w:rPr>
        <w:t>em-based learning configuration</w:t>
      </w:r>
      <w:r w:rsidR="00BB36AA"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D46482" w:rsidRPr="008B76DC">
        <w:rPr>
          <w:rFonts w:ascii="Arial" w:hAnsi="Arial" w:cs="Arial"/>
          <w:sz w:val="24"/>
          <w:szCs w:val="24"/>
          <w:lang w:val="en-US"/>
        </w:rPr>
        <w:instrText>ADDIN CSL_CITATION { "citationItems" : [ { "id" : "ITEM-1", "itemData" : { "author" : [ { "dropping-particle" : "", "family" : "Taxonomy", "given" : "Bloom", "non-dropping-particle" : "", "parse-names" : false, "suffix" : "" } ], "id" : "ITEM-1", "issue" : "1", "issued" : { "date-parts" : [ [ "2011" ] ] }, "page" : "39-43", "title" : "Evaluation of Modified Essay Questions (MEQ) and Multiple Choice Questions (MCQ) as a tool for Assessing the Cognitive Skills of Undergraduate Medical Students Moeen-uz-Zafar-Khan and Badr Muhammad Aljarallah", "type" : "article-journal", "volume" : "5" }, "uris" : [ "http://www.mendeley.com/documents/?uuid=cb11c0f6-32c3-486a-bfc1-bf90bc0ed347" ] } ], "mendeley" : { "formattedCitation" : "&lt;sup&gt;34&lt;/sup&gt;", "plainTextFormattedCitation" : "34", "previouslyFormattedCitation" : "&lt;sup&gt;34&lt;/sup&gt;"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D46482" w:rsidRPr="008B76DC">
        <w:rPr>
          <w:rFonts w:ascii="Arial" w:hAnsi="Arial" w:cs="Arial"/>
          <w:noProof/>
          <w:sz w:val="24"/>
          <w:szCs w:val="24"/>
          <w:vertAlign w:val="superscript"/>
          <w:lang w:val="en-US"/>
        </w:rPr>
        <w:t>34</w:t>
      </w:r>
      <w:r w:rsidR="00771EBF" w:rsidRPr="008B76DC">
        <w:rPr>
          <w:rFonts w:ascii="Arial" w:hAnsi="Arial" w:cs="Arial"/>
          <w:sz w:val="24"/>
          <w:szCs w:val="24"/>
          <w:lang w:val="en-US"/>
        </w:rPr>
        <w:fldChar w:fldCharType="end"/>
      </w:r>
    </w:p>
    <w:p w:rsidR="00421992" w:rsidRPr="008B76DC" w:rsidRDefault="001E1B0F"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 xml:space="preserve">Evaluations of open questions and </w:t>
      </w:r>
      <w:r w:rsidR="00D71886" w:rsidRPr="008B76DC">
        <w:rPr>
          <w:rFonts w:ascii="Arial" w:hAnsi="Arial" w:cs="Arial"/>
          <w:sz w:val="24"/>
          <w:szCs w:val="24"/>
          <w:lang w:val="en-US"/>
        </w:rPr>
        <w:t>well-structured</w:t>
      </w:r>
      <w:r w:rsidRPr="008B76DC">
        <w:rPr>
          <w:rFonts w:ascii="Arial" w:hAnsi="Arial" w:cs="Arial"/>
          <w:sz w:val="24"/>
          <w:szCs w:val="24"/>
          <w:lang w:val="en-US"/>
        </w:rPr>
        <w:t xml:space="preserve"> m</w:t>
      </w:r>
      <w:r w:rsidR="00D71886" w:rsidRPr="008B76DC">
        <w:rPr>
          <w:rFonts w:ascii="Arial" w:hAnsi="Arial" w:cs="Arial"/>
          <w:sz w:val="24"/>
          <w:szCs w:val="24"/>
          <w:lang w:val="en-US"/>
        </w:rPr>
        <w:t xml:space="preserve">ultiple choice questions appear </w:t>
      </w:r>
      <w:r w:rsidRPr="008B76DC">
        <w:rPr>
          <w:rFonts w:ascii="Arial" w:hAnsi="Arial" w:cs="Arial"/>
          <w:sz w:val="24"/>
          <w:szCs w:val="24"/>
          <w:lang w:val="en-US"/>
        </w:rPr>
        <w:t>similar in their abilit</w:t>
      </w:r>
      <w:r w:rsidR="00D46482" w:rsidRPr="008B76DC">
        <w:rPr>
          <w:rFonts w:ascii="Arial" w:hAnsi="Arial" w:cs="Arial"/>
          <w:sz w:val="24"/>
          <w:szCs w:val="24"/>
          <w:lang w:val="en-US"/>
        </w:rPr>
        <w:t>y to assess cognitive functions</w:t>
      </w:r>
      <w:r w:rsidR="00421992"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C120D6" w:rsidRPr="008B76DC">
        <w:rPr>
          <w:rFonts w:ascii="Arial" w:hAnsi="Arial" w:cs="Arial"/>
          <w:sz w:val="24"/>
          <w:szCs w:val="24"/>
          <w:lang w:val="en-US"/>
        </w:rPr>
        <w:instrText>ADDIN CSL_CITATION { "citationItems" : [ { "id" : "ITEM-1", "itemData" : { "DOI" : "10.1186/s12909-014-0249-2", "ISSN" : "1472-6920", "PMID" : "25431359", "abstract" : "BACKGROUND: Written assessments fall into two classes: constructed-response or open-ended questions, such as the essay and a number of variants of the short-answer question, and selected-response or closed-ended questions; typically in the form of multiple-choice. It is widely believed that constructed response written questions test higher order cognitive processes in a manner that multiple-choice questions cannot, and consequently have higher validity.\\n\\nDISCUSSION: An extensive review of the literature suggests that in summative assessment neither premise is evidence-based. Well-structured open-ended and multiple-choice questions appear equivalent in their ability to assess higher cognitive functions, and performance in multiple-choice assessments may correlate more highly than the open-ended format with competence demonstrated in clinical practice following graduation. Studies of construct validity suggest that both formats measure essentially the same dimension, at least in mathematics, the physical sciences, biology and medicine. The persistence of the open-ended format in summative assessment may be due to the intuitive appeal of the belief that synthesising an answer to an open-ended question must be both more cognitively taxing and similar to actual experience than is selecting a correct response. I suggest that cognitive-constructivist learning theory would predict that a well-constructed context-rich multiple-choice item represents a complex problem-solving exercise which activates a sequence of cognitive processes which closely parallel those required in clinical practice, hence explaining the high validity of the multiple-choice format.\\n\\nSUMMARY: The evidence does not support the proposition that the open-ended assessment format is superior to the multiple-choice format, at least in exit-level summative assessment, in terms of either its ability to test higher-order cognitive functioning or its validity. This is explicable using a theory of mental models, which might predict that the multiple-choice format will have higher validity, a statement for which some empiric support exists. Given the superior reliability and cost-effectiveness of the multiple-choice format consideration should be given to phasing out open-ended format questions in summative assessment. Whether the same applies to non-exit-level assessment and formative assessment is a question which remains to be answered; particularly in terms of the educational effect of testi\u2026", "author" : [ { "dropping-particle" : "", "family" : "Hift", "given" : "Richard J", "non-dropping-particle" : "", "parse-names" : false, "suffix" : "" } ], "container-title" : "BMC medical education", "id" : "ITEM-1", "issue" : "1", "issued" : { "date-parts" : [ [ "2014" ] ] }, "page" : "249", "title" : "Should essays and other \"open-ended\"-type questions retain a place in written summative assessment in clinical medicine?", "type" : "article-journal", "volume" : "14" }, "uris" : [ "http://www.mendeley.com/documents/?uuid=208bfe05-8ba0-4c83-bfaa-a3d96b289bf3" ] } ], "mendeley" : { "formattedCitation" : "&lt;sup&gt;35&lt;/sup&gt;", "plainTextFormattedCitation" : "35", "previouslyFormattedCitation" : "&lt;sup&gt;35&lt;/sup&gt;"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D46482" w:rsidRPr="008B76DC">
        <w:rPr>
          <w:rFonts w:ascii="Arial" w:hAnsi="Arial" w:cs="Arial"/>
          <w:noProof/>
          <w:sz w:val="24"/>
          <w:szCs w:val="24"/>
          <w:vertAlign w:val="superscript"/>
          <w:lang w:val="en-US"/>
        </w:rPr>
        <w:t>35</w:t>
      </w:r>
      <w:r w:rsidR="00771EBF" w:rsidRPr="008B76DC">
        <w:rPr>
          <w:rFonts w:ascii="Arial" w:hAnsi="Arial" w:cs="Arial"/>
          <w:sz w:val="24"/>
          <w:szCs w:val="24"/>
          <w:lang w:val="en-US"/>
        </w:rPr>
        <w:fldChar w:fldCharType="end"/>
      </w:r>
    </w:p>
    <w:p w:rsidR="00504E00" w:rsidRPr="008B76DC" w:rsidRDefault="00E77DDD"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Multiple choice questions are commonly used for evaluation because they can provide a large number of examination items covering several content areas, they can be applied in a short period of time, and they can be classified by the computer. They are increasingly being used because of their greater reliability. These factors make the use of this type of evaluation simple and standardized</w:t>
      </w:r>
      <w:r w:rsidR="00504E00"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C120D6" w:rsidRPr="008B76DC">
        <w:rPr>
          <w:rFonts w:ascii="Arial" w:hAnsi="Arial" w:cs="Arial"/>
          <w:sz w:val="24"/>
          <w:szCs w:val="24"/>
          <w:lang w:val="en-US"/>
        </w:rPr>
        <w:instrText>ADDIN CSL_CITATION { "citationItems" : [ { "id" : "ITEM-1", "itemData" : { "ISBN" : "9782020096409", "PMID" : "12438991", "abstract" : "This manual was written to help faculty members improve the quality of the multiple-choice questions written for their exam- inations. The manual provides an overview of item formats, concentrating on the traditional one-best-answer and matching formats. It reviews issues related to technical item flaws and issues related to item content. The manual also provides basic information to help faculty review statistical indices of item quality after test administration. An overview of standard-set- ting techniques is also provided. Issues related to exam blueprinting are not addressed in any detail. We have focused almost exclusively on the item level, leaving exam level planning for another manuscript. We anticipate that this manual will be useful primarily by faculty who are teaching medical students in basic science cours- es and clinical clerkships. The examples focus on undergraduate medical education, though the general approach to item writing may be useful for assessing examinees at other levels. This manual reflects lessons that we have learned in developing items and tests over the past 20 years. During this period, we have reviewed (quite literally) tens of thousands of multiple-choice questions and have conducted item-writing workshops for thousands of item writers preparing USMLE, NBME, and specialty board examinations as well as faculty at more than 60 medical schools developing test questions for their own examinations. Each workshop attendee has helped us to frame our thoughts regarding how to write better quality test questions, and, over the years, we have become better able (we believe) to articulate the whys and wherefores. We hope this manual helps to communicate these thoughts.", "author" : [ { "dropping-particle" : "", "family" : "Case", "given" : "Susan M", "non-dropping-particle" : "", "parse-names" : false, "suffix" : "" }, { "dropping-particle" : "", "family" : "Swanson", "given" : "David B", "non-dropping-particle" : "", "parse-names" : false, "suffix" : "" } ], "container-title" : "Director", "id" : "ITEM-1", "issue" : "21", "issued" : { "date-parts" : [ [ "2002" ] ] }, "page" : "112", "title" : "Constructing Written Test Questions For the Basic and Clinical Sciences", "type" : "article-journal", "volume" : "27" }, "uris" : [ "http://www.mendeley.com/documents/?uuid=c81492a3-67ae-4855-8bec-c8e4519cca72" ] } ], "mendeley" : { "formattedCitation" : "&lt;sup&gt;16&lt;/sup&gt;", "plainTextFormattedCitation" : "16", "previouslyFormattedCitation" : "&lt;sup&gt;16&lt;/sup&gt;"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C120D6" w:rsidRPr="008B76DC">
        <w:rPr>
          <w:rFonts w:ascii="Arial" w:hAnsi="Arial" w:cs="Arial"/>
          <w:noProof/>
          <w:sz w:val="24"/>
          <w:szCs w:val="24"/>
          <w:vertAlign w:val="superscript"/>
          <w:lang w:val="en-US"/>
        </w:rPr>
        <w:t>16</w:t>
      </w:r>
      <w:r w:rsidR="00771EBF" w:rsidRPr="008B76DC">
        <w:rPr>
          <w:rFonts w:ascii="Arial" w:hAnsi="Arial" w:cs="Arial"/>
          <w:sz w:val="24"/>
          <w:szCs w:val="24"/>
          <w:lang w:val="en-US"/>
        </w:rPr>
        <w:fldChar w:fldCharType="end"/>
      </w:r>
    </w:p>
    <w:p w:rsidR="00504E00" w:rsidRPr="008B76DC" w:rsidRDefault="000F4738"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Multiple choice questions are the most frequently used type of test, being implemented alone or in combination with other types of assessment test tools. Furthermore, multiple choice questions are appropriate to measure the knowledge and understanding, and they can be designed to m</w:t>
      </w:r>
      <w:r w:rsidR="00C120D6" w:rsidRPr="008B76DC">
        <w:rPr>
          <w:rFonts w:ascii="Arial" w:hAnsi="Arial" w:cs="Arial"/>
          <w:sz w:val="24"/>
          <w:szCs w:val="24"/>
          <w:lang w:val="en-US"/>
        </w:rPr>
        <w:t>easure application and analysis</w:t>
      </w:r>
      <w:r w:rsidR="00504E00"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5454AD" w:rsidRPr="008B76DC">
        <w:rPr>
          <w:rFonts w:ascii="Arial" w:hAnsi="Arial" w:cs="Arial"/>
          <w:sz w:val="24"/>
          <w:szCs w:val="24"/>
          <w:lang w:val="en-US"/>
        </w:rPr>
        <w:instrText>ADDIN CSL_CITATION { "citationItems" : [ { "id" : "ITEM-1", "itemData" : { "author" : [ { "dropping-particle" : "", "family" : "ABDEL-HAMEED, A.A., AL-FARIS, E.A.; ALORAINY", "given" : "I.A.", "non-dropping-particle" : "", "parse-names" : false, "suffix" : "" } ], "container-title" : "Saudi Med J.", "id" : "ITEM-1", "issue" : "10", "issued" : { "date-parts" : [ [ "2005" ] ] }, "page" : "505-510", "title" : "The criteria and analysis of good multiple choice questions in a health professional setting", "type" : "article-journal", "volume" : "26" }, "uris" : [ "http://www.mendeley.com/documents/?uuid=6932b7ec-52c0-46a0-9023-3eb2ff616cc3" ] } ], "mendeley" : { "formattedCitation" : "&lt;sup&gt;36&lt;/sup&gt;", "plainTextFormattedCitation" : "36", "previouslyFormattedCitation" : "&lt;sup&gt;36&lt;/sup&gt;"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C120D6" w:rsidRPr="008B76DC">
        <w:rPr>
          <w:rFonts w:ascii="Arial" w:hAnsi="Arial" w:cs="Arial"/>
          <w:noProof/>
          <w:sz w:val="24"/>
          <w:szCs w:val="24"/>
          <w:vertAlign w:val="superscript"/>
          <w:lang w:val="en-US"/>
        </w:rPr>
        <w:t>36</w:t>
      </w:r>
      <w:r w:rsidR="00771EBF" w:rsidRPr="008B76DC">
        <w:rPr>
          <w:rFonts w:ascii="Arial" w:hAnsi="Arial" w:cs="Arial"/>
          <w:sz w:val="24"/>
          <w:szCs w:val="24"/>
          <w:lang w:val="en-US"/>
        </w:rPr>
        <w:fldChar w:fldCharType="end"/>
      </w:r>
    </w:p>
    <w:p w:rsidR="003949CA" w:rsidRPr="008B76DC" w:rsidRDefault="009B0F9E"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The theory of cogniti</w:t>
      </w:r>
      <w:r w:rsidR="003E11CB" w:rsidRPr="008B76DC">
        <w:rPr>
          <w:rFonts w:ascii="Arial" w:hAnsi="Arial" w:cs="Arial"/>
          <w:sz w:val="24"/>
          <w:szCs w:val="24"/>
          <w:lang w:val="en-US"/>
        </w:rPr>
        <w:t>ve-constructivist learning</w:t>
      </w:r>
      <w:r w:rsidRPr="008B76DC">
        <w:rPr>
          <w:rFonts w:ascii="Arial" w:hAnsi="Arial" w:cs="Arial"/>
          <w:sz w:val="24"/>
          <w:szCs w:val="24"/>
          <w:lang w:val="en-US"/>
        </w:rPr>
        <w:t xml:space="preserve"> predict</w:t>
      </w:r>
      <w:r w:rsidR="003E11CB" w:rsidRPr="008B76DC">
        <w:rPr>
          <w:rFonts w:ascii="Arial" w:hAnsi="Arial" w:cs="Arial"/>
          <w:sz w:val="24"/>
          <w:szCs w:val="24"/>
          <w:lang w:val="en-US"/>
        </w:rPr>
        <w:t>s</w:t>
      </w:r>
      <w:r w:rsidRPr="008B76DC">
        <w:rPr>
          <w:rFonts w:ascii="Arial" w:hAnsi="Arial" w:cs="Arial"/>
          <w:sz w:val="24"/>
          <w:szCs w:val="24"/>
          <w:lang w:val="en-US"/>
        </w:rPr>
        <w:t xml:space="preserve"> that well-formulated multiple-choice questions activate a sequence of cognitive processes that are identical to those required in clinical practice, thus explaining t</w:t>
      </w:r>
      <w:r w:rsidR="005454AD" w:rsidRPr="008B76DC">
        <w:rPr>
          <w:rFonts w:ascii="Arial" w:hAnsi="Arial" w:cs="Arial"/>
          <w:sz w:val="24"/>
          <w:szCs w:val="24"/>
          <w:lang w:val="en-US"/>
        </w:rPr>
        <w:t>he high validity of this format</w:t>
      </w:r>
      <w:r w:rsidR="00504E00"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5454AD" w:rsidRPr="008B76DC">
        <w:rPr>
          <w:rFonts w:ascii="Arial" w:hAnsi="Arial" w:cs="Arial"/>
          <w:sz w:val="24"/>
          <w:szCs w:val="24"/>
          <w:lang w:val="en-US"/>
        </w:rPr>
        <w:instrText>ADDIN CSL_CITATION { "citationItems" : [ { "id" : "ITEM-1", "itemData" : { "DOI" : "10.1186/s12909-014-0249-2", "ISSN" : "1472-6920", "PMID" : "25431359", "abstract" : "BACKGROUND: Written assessments fall into two classes: constructed-response or open-ended questions, such as the essay and a number of variants of the short-answer question, and selected-response or closed-ended questions; typically in the form of multiple-choice. It is widely believed that constructed response written questions test higher order cognitive processes in a manner that multiple-choice questions cannot, and consequently have higher validity.\\n\\nDISCUSSION: An extensive review of the literature suggests that in summative assessment neither premise is evidence-based. Well-structured open-ended and multiple-choice questions appear equivalent in their ability to assess higher cognitive functions, and performance in multiple-choice assessments may correlate more highly than the open-ended format with competence demonstrated in clinical practice following graduation. Studies of construct validity suggest that both formats measure essentially the same dimension, at least in mathematics, the physical sciences, biology and medicine. The persistence of the open-ended format in summative assessment may be due to the intuitive appeal of the belief that synthesising an answer to an open-ended question must be both more cognitively taxing and similar to actual experience than is selecting a correct response. I suggest that cognitive-constructivist learning theory would predict that a well-constructed context-rich multiple-choice item represents a complex problem-solving exercise which activates a sequence of cognitive processes which closely parallel those required in clinical practice, hence explaining the high validity of the multiple-choice format.\\n\\nSUMMARY: The evidence does not support the proposition that the open-ended assessment format is superior to the multiple-choice format, at least in exit-level summative assessment, in terms of either its ability to test higher-order cognitive functioning or its validity. This is explicable using a theory of mental models, which might predict that the multiple-choice format will have higher validity, a statement for which some empiric support exists. Given the superior reliability and cost-effectiveness of the multiple-choice format consideration should be given to phasing out open-ended format questions in summative assessment. Whether the same applies to non-exit-level assessment and formative assessment is a question which remains to be answered; particularly in terms of the educational effect of testi\u2026", "author" : [ { "dropping-particle" : "", "family" : "Hift", "given" : "Richard J", "non-dropping-particle" : "", "parse-names" : false, "suffix" : "" } ], "container-title" : "BMC medical education", "id" : "ITEM-1", "issue" : "1", "issued" : { "date-parts" : [ [ "2014" ] ] }, "page" : "249", "title" : "Should essays and other \"open-ended\"-type questions retain a place in written summative assessment in clinical medicine?", "type" : "article-journal", "volume" : "14" }, "uris" : [ "http://www.mendeley.com/documents/?uuid=208bfe05-8ba0-4c83-bfaa-a3d96b289bf3" ] } ], "mendeley" : { "formattedCitation" : "&lt;sup&gt;35&lt;/sup&gt;", "plainTextFormattedCitation" : "35", "previouslyFormattedCitation" : "&lt;sup&gt;35&lt;/sup&gt;"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5454AD" w:rsidRPr="008B76DC">
        <w:rPr>
          <w:rFonts w:ascii="Arial" w:hAnsi="Arial" w:cs="Arial"/>
          <w:noProof/>
          <w:sz w:val="24"/>
          <w:szCs w:val="24"/>
          <w:vertAlign w:val="superscript"/>
          <w:lang w:val="en-US"/>
        </w:rPr>
        <w:t>35</w:t>
      </w:r>
      <w:r w:rsidR="00771EBF" w:rsidRPr="008B76DC">
        <w:rPr>
          <w:rFonts w:ascii="Arial" w:hAnsi="Arial" w:cs="Arial"/>
          <w:sz w:val="24"/>
          <w:szCs w:val="24"/>
          <w:lang w:val="en-US"/>
        </w:rPr>
        <w:fldChar w:fldCharType="end"/>
      </w:r>
    </w:p>
    <w:p w:rsidR="009E4FAF" w:rsidRPr="008B76DC" w:rsidRDefault="00CC0124"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The use of Bloom's Taxonomy in multiple-choice tests is effective for evaluation tests of criti</w:t>
      </w:r>
      <w:r w:rsidR="005454AD" w:rsidRPr="008B76DC">
        <w:rPr>
          <w:rFonts w:ascii="Arial" w:hAnsi="Arial" w:cs="Arial"/>
          <w:sz w:val="24"/>
          <w:szCs w:val="24"/>
          <w:lang w:val="en-US"/>
        </w:rPr>
        <w:t>cal thinking skills in students</w:t>
      </w:r>
      <w:r w:rsidR="009E4FAF"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6229EF" w:rsidRPr="008B76DC">
        <w:rPr>
          <w:rFonts w:ascii="Arial" w:hAnsi="Arial" w:cs="Arial"/>
          <w:sz w:val="24"/>
          <w:szCs w:val="24"/>
          <w:lang w:val="en-US"/>
        </w:rPr>
        <w:instrText>ADDIN CSL_CITATION { "citationItems" : [ { "id" : "ITEM-1", "itemData" : { "author" : [ { "dropping-particle" : "", "family" : "Kim", "given" : "Myo-kyoung", "non-dropping-particle" : "", "parse-names" : false, "suffix" : "" }, { "dropping-particle" : "", "family" : "Patel", "given" : "Rajul A", "non-dropping-particle" : "", "parse-names" : false, "suffix" : "" }, { "dropping-particle" : "", "family" : "Uchizono", "given" : "James A", "non-dropping-particle" : "", "parse-names" : false, "suffix" : "" }, { "dropping-particle" : "", "family" : "Beck", "given" : "Lynn", "non-dropping-particle" : "", "parse-names" : false, "suffix" : "" } ], "id" : "ITEM-1", "issue" : "6", "issued" : { "date-parts" : [ [ "2012" ] ] }, "title" : "TEACHERS \u2019 TOPICS Incorporation of Bloom \u2019 s Taxonomy into Multiple-Choice Examination Questions for a Pharmacotherapeutics Course", "type" : "article-journal", "volume" : "76" }, "uris" : [ "http://www.mendeley.com/documents/?uuid=269b693a-2979-4662-bb73-620bed7df60c" ] } ], "mendeley" : { "formattedCitation" : "&lt;sup&gt;37&lt;/sup&gt;", "plainTextFormattedCitation" : "37", "previouslyFormattedCitation" : "&lt;sup&gt;37&lt;/sup&gt;"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5454AD" w:rsidRPr="008B76DC">
        <w:rPr>
          <w:rFonts w:ascii="Arial" w:hAnsi="Arial" w:cs="Arial"/>
          <w:noProof/>
          <w:sz w:val="24"/>
          <w:szCs w:val="24"/>
          <w:vertAlign w:val="superscript"/>
          <w:lang w:val="en-US"/>
        </w:rPr>
        <w:t>37</w:t>
      </w:r>
      <w:r w:rsidR="00771EBF" w:rsidRPr="008B76DC">
        <w:rPr>
          <w:rFonts w:ascii="Arial" w:hAnsi="Arial" w:cs="Arial"/>
          <w:sz w:val="24"/>
          <w:szCs w:val="24"/>
          <w:lang w:val="en-US"/>
        </w:rPr>
        <w:fldChar w:fldCharType="end"/>
      </w:r>
    </w:p>
    <w:p w:rsidR="00504E00" w:rsidRPr="008B76DC" w:rsidRDefault="000A72DD" w:rsidP="00310C02">
      <w:pPr>
        <w:spacing w:after="0" w:line="480" w:lineRule="auto"/>
        <w:ind w:firstLine="708"/>
        <w:rPr>
          <w:rFonts w:ascii="Arial" w:hAnsi="Arial" w:cs="Arial"/>
          <w:sz w:val="24"/>
          <w:szCs w:val="24"/>
          <w:lang w:val="en-US"/>
        </w:rPr>
      </w:pPr>
      <w:r w:rsidRPr="008B76DC">
        <w:rPr>
          <w:rFonts w:ascii="Arial" w:hAnsi="Arial" w:cs="Arial"/>
          <w:sz w:val="24"/>
          <w:szCs w:val="24"/>
          <w:lang w:val="en-US"/>
        </w:rPr>
        <w:t>Several publications have documented that multiple choice questions can be used successfully to test higher cognitive levels, besides being able to play a role in the asse</w:t>
      </w:r>
      <w:r w:rsidR="006229EF" w:rsidRPr="008B76DC">
        <w:rPr>
          <w:rFonts w:ascii="Arial" w:hAnsi="Arial" w:cs="Arial"/>
          <w:sz w:val="24"/>
          <w:szCs w:val="24"/>
          <w:lang w:val="en-US"/>
        </w:rPr>
        <w:t>ssment of students' performance</w:t>
      </w:r>
      <w:r w:rsidR="00504E00" w:rsidRPr="008B76DC">
        <w:rPr>
          <w:rFonts w:ascii="Arial" w:hAnsi="Arial" w:cs="Arial"/>
          <w:sz w:val="24"/>
          <w:szCs w:val="24"/>
          <w:lang w:val="en-US"/>
        </w:rPr>
        <w:t>.</w:t>
      </w:r>
      <w:r w:rsidR="00771EBF" w:rsidRPr="008B76DC">
        <w:rPr>
          <w:rFonts w:ascii="Arial" w:hAnsi="Arial" w:cs="Arial"/>
          <w:sz w:val="24"/>
          <w:szCs w:val="24"/>
          <w:lang w:val="en-US"/>
        </w:rPr>
        <w:fldChar w:fldCharType="begin" w:fldLock="1"/>
      </w:r>
      <w:r w:rsidR="006229EF" w:rsidRPr="008B76DC">
        <w:rPr>
          <w:rFonts w:ascii="Arial" w:hAnsi="Arial" w:cs="Arial"/>
          <w:sz w:val="24"/>
          <w:szCs w:val="24"/>
          <w:lang w:val="en-US"/>
        </w:rPr>
        <w:instrText>ADDIN CSL_CITATION { "citationItems" : [ { "id" : "ITEM-1", "itemData" : { "author" : [ { "dropping-particle" : "", "family" : "BUCKWALTER, J.A.", "given" : "et al.", "non-dropping-particle" : "", "parse-names" : false, "suffix" : "" } ], "container-title" : "J Med Educ.", "id" : "ITEM-1", "issued" : { "date-parts" : [ [ "1981" ] ] }, "page" : "115-21", "title" : "Use of an educational taxonomy for evaluation of cognitive performance.", "type" : "article-journal", "volume" : "56" }, "uris" : [ "http://www.mendeley.com/documents/?uuid=0b240669-50e0-426b-988a-be8a59eb2b6b" ] } ], "mendeley" : { "formattedCitation" : "&lt;sup&gt;38&lt;/sup&gt;", "plainTextFormattedCitation" : "38", "previouslyFormattedCitation" : "&lt;sup&gt;38&lt;/sup&gt;"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6229EF" w:rsidRPr="008B76DC">
        <w:rPr>
          <w:rFonts w:ascii="Arial" w:hAnsi="Arial" w:cs="Arial"/>
          <w:noProof/>
          <w:sz w:val="24"/>
          <w:szCs w:val="24"/>
          <w:vertAlign w:val="superscript"/>
          <w:lang w:val="en-US"/>
        </w:rPr>
        <w:t>38</w:t>
      </w:r>
      <w:r w:rsidR="00771EBF" w:rsidRPr="008B76DC">
        <w:rPr>
          <w:rFonts w:ascii="Arial" w:hAnsi="Arial" w:cs="Arial"/>
          <w:sz w:val="24"/>
          <w:szCs w:val="24"/>
          <w:lang w:val="en-US"/>
        </w:rPr>
        <w:fldChar w:fldCharType="end"/>
      </w:r>
      <w:r w:rsidR="00771EBF" w:rsidRPr="008B76DC">
        <w:rPr>
          <w:rFonts w:ascii="Arial" w:hAnsi="Arial" w:cs="Arial"/>
          <w:sz w:val="24"/>
          <w:szCs w:val="24"/>
          <w:lang w:val="en-US"/>
        </w:rPr>
        <w:fldChar w:fldCharType="begin" w:fldLock="1"/>
      </w:r>
      <w:r w:rsidR="006229EF" w:rsidRPr="008B76DC">
        <w:rPr>
          <w:rFonts w:ascii="Arial" w:hAnsi="Arial" w:cs="Arial"/>
          <w:sz w:val="24"/>
          <w:szCs w:val="24"/>
          <w:lang w:val="en-US"/>
        </w:rPr>
        <w:instrText>ADDIN CSL_CITATION { "citationItems" : [ { "id" : "ITEM-1", "itemData" : { "DOI" : "10.1186/1472-6920-7-49", "ISBN" : "1472-6920", "ISSN" : "1472-6920", "PMID" : "18045500", "abstract" : "BACKGROUND: Reliable and valid written tests of higher cognitive function are difficult to produce, particularly for the assessment of clinical problem solving. Modified Essay Questions (MEQs) are often used to assess these higher order abilities in preference to other forms of assessment, including multiple-choice questions (MCQs). MEQs often form a vital component of end-of-course assessments in higher education. It is not clear how effectively these questions assess higher order cognitive skills. This study was designed to assess the effectiveness of the MEQ to measure higher-order cognitive skills in an undergraduate institution.\\n\\nMETHODS: An analysis of multiple-choice questions and modified essay questions (MEQs) used for summative assessment in a clinical undergraduate curriculum was undertaken. A total of 50 MCQs and 139 stages of MEQs were examined, which came from three exams run over two years. The effectiveness of the questions was determined by two assessors and was defined by the questions ability to measure higher cognitive skills, as determined by a modification of Bloom's taxonomy, and its quality as determined by the presence of item writing flaws.\\n\\nRESULTS: Over 50% of all of the MEQs tested factual recall. This was similar to the percentage of MCQs testing factual recall. The modified essay question failed in its role of consistently assessing higher cognitive skills whereas the MCQ frequently tested more than mere recall of knowledge.\\n\\nCONCLUSION: Construction of MEQs, which will assess higher order cognitive skills cannot be assumed to be a simple task. Well-constructed MCQs should be considered a satisfactory replacement for MEQs if the MEQs cannot be designed to adequately test higher order skills. Such MCQs are capable of withstanding the intellectual and statistical scrutiny imposed by a high stakes exit examination.", "author" : [ { "dropping-particle" : "", "family" : "Palmer", "given" : "Edward J", "non-dropping-particle" : "", "parse-names" : false, "suffix" : "" }, { "dropping-particle" : "", "family" : "Devitt", "given" : "Peter G", "non-dropping-particle" : "", "parse-names" : false, "suffix" : "" } ], "container-title" : "BMC medical education", "id" : "ITEM-1", "issue" : "1", "issued" : { "date-parts" : [ [ "2007" ] ] }, "page" : "49", "title" : "Assessment of higher order cognitive skills in undergraduate education: modified essay or multiple choice questions? Research paper.", "type" : "article-journal", "volume" : "7" }, "uris" : [ "http://www.mendeley.com/documents/?uuid=284070b0-e3f7-4256-aff3-805f23dd5299" ] } ], "mendeley" : { "formattedCitation" : "&lt;sup&gt;39&lt;/sup&gt;", "plainTextFormattedCitation" : "39", "previouslyFormattedCitation" : "&lt;sup&gt;39&lt;/sup&gt;" }, "properties" : { "noteIndex" : 0 }, "schema" : "https://github.com/citation-style-language/schema/raw/master/csl-citation.json" }</w:instrText>
      </w:r>
      <w:r w:rsidR="00771EBF" w:rsidRPr="008B76DC">
        <w:rPr>
          <w:rFonts w:ascii="Arial" w:hAnsi="Arial" w:cs="Arial"/>
          <w:sz w:val="24"/>
          <w:szCs w:val="24"/>
          <w:lang w:val="en-US"/>
        </w:rPr>
        <w:fldChar w:fldCharType="separate"/>
      </w:r>
      <w:r w:rsidR="006229EF" w:rsidRPr="008B76DC">
        <w:rPr>
          <w:rFonts w:ascii="Arial" w:hAnsi="Arial" w:cs="Arial"/>
          <w:noProof/>
          <w:sz w:val="24"/>
          <w:szCs w:val="24"/>
          <w:vertAlign w:val="superscript"/>
          <w:lang w:val="en-US"/>
        </w:rPr>
        <w:t>39</w:t>
      </w:r>
      <w:r w:rsidR="00771EBF" w:rsidRPr="008B76DC">
        <w:rPr>
          <w:rFonts w:ascii="Arial" w:hAnsi="Arial" w:cs="Arial"/>
          <w:sz w:val="24"/>
          <w:szCs w:val="24"/>
          <w:lang w:val="en-US"/>
        </w:rPr>
        <w:fldChar w:fldCharType="end"/>
      </w:r>
    </w:p>
    <w:p w:rsidR="00610F16" w:rsidRPr="008B76DC" w:rsidRDefault="00610F16" w:rsidP="00310C02">
      <w:pPr>
        <w:spacing w:after="0" w:line="360" w:lineRule="auto"/>
        <w:rPr>
          <w:rFonts w:ascii="Arial" w:hAnsi="Arial" w:cs="Arial"/>
          <w:b/>
          <w:sz w:val="24"/>
          <w:szCs w:val="24"/>
          <w:lang w:val="en-US"/>
        </w:rPr>
      </w:pPr>
    </w:p>
    <w:p w:rsidR="00682B8A" w:rsidRPr="008B76DC" w:rsidRDefault="0075295E" w:rsidP="00310C02">
      <w:pPr>
        <w:spacing w:after="0" w:line="360" w:lineRule="auto"/>
        <w:rPr>
          <w:rFonts w:ascii="Arial" w:hAnsi="Arial" w:cs="Arial"/>
          <w:b/>
          <w:sz w:val="24"/>
          <w:szCs w:val="24"/>
          <w:lang w:val="en-US"/>
        </w:rPr>
      </w:pPr>
      <w:r w:rsidRPr="008B76DC">
        <w:rPr>
          <w:rFonts w:ascii="Arial" w:hAnsi="Arial" w:cs="Arial"/>
          <w:b/>
          <w:sz w:val="24"/>
          <w:szCs w:val="24"/>
          <w:lang w:val="en-US"/>
        </w:rPr>
        <w:t>5</w:t>
      </w:r>
      <w:r w:rsidR="00682B8A" w:rsidRPr="008B76DC">
        <w:rPr>
          <w:rFonts w:ascii="Arial" w:hAnsi="Arial" w:cs="Arial"/>
          <w:b/>
          <w:sz w:val="24"/>
          <w:szCs w:val="24"/>
          <w:lang w:val="en-US"/>
        </w:rPr>
        <w:t xml:space="preserve">. </w:t>
      </w:r>
      <w:r w:rsidR="007F3516" w:rsidRPr="007F3516">
        <w:rPr>
          <w:rFonts w:ascii="Arial" w:hAnsi="Arial" w:cs="Arial"/>
          <w:b/>
          <w:sz w:val="24"/>
          <w:szCs w:val="24"/>
          <w:lang w:val="en-US"/>
        </w:rPr>
        <w:t>SUMMARY</w:t>
      </w:r>
    </w:p>
    <w:p w:rsidR="0067266A" w:rsidRPr="008B76DC" w:rsidRDefault="0067266A" w:rsidP="00310C02">
      <w:pPr>
        <w:spacing w:after="0" w:line="360" w:lineRule="auto"/>
        <w:rPr>
          <w:rFonts w:ascii="Arial" w:hAnsi="Arial" w:cs="Arial"/>
          <w:sz w:val="24"/>
          <w:szCs w:val="24"/>
          <w:lang w:val="en-US"/>
        </w:rPr>
      </w:pPr>
    </w:p>
    <w:p w:rsidR="008A58FE" w:rsidRPr="008B76DC" w:rsidRDefault="008A58FE" w:rsidP="00F9684D">
      <w:pPr>
        <w:spacing w:after="0" w:line="480" w:lineRule="auto"/>
        <w:ind w:firstLine="708"/>
        <w:rPr>
          <w:rFonts w:ascii="Arial" w:hAnsi="Arial" w:cs="Arial"/>
          <w:sz w:val="24"/>
          <w:szCs w:val="24"/>
          <w:lang w:val="en-US"/>
        </w:rPr>
      </w:pPr>
      <w:r w:rsidRPr="008B76DC">
        <w:rPr>
          <w:rFonts w:ascii="Arial" w:hAnsi="Arial" w:cs="Arial"/>
          <w:sz w:val="24"/>
          <w:szCs w:val="24"/>
          <w:lang w:val="en-US"/>
        </w:rPr>
        <w:lastRenderedPageBreak/>
        <w:t>Some limitations in methodology can affect the extrapolation of data. Because of the absence of a control group, we cannot definitively conclude that correlations found in this study could be extrapolated to other disciplines.</w:t>
      </w:r>
    </w:p>
    <w:p w:rsidR="008A58FE" w:rsidRPr="008B76DC" w:rsidRDefault="001459F3" w:rsidP="00F9684D">
      <w:pPr>
        <w:spacing w:after="0" w:line="480" w:lineRule="auto"/>
        <w:ind w:firstLine="708"/>
        <w:rPr>
          <w:rFonts w:ascii="Arial" w:hAnsi="Arial" w:cs="Arial"/>
          <w:sz w:val="24"/>
          <w:szCs w:val="24"/>
          <w:lang w:val="en-US"/>
        </w:rPr>
      </w:pPr>
      <w:r w:rsidRPr="008B76DC">
        <w:rPr>
          <w:rFonts w:ascii="Arial" w:hAnsi="Arial" w:cs="Arial"/>
          <w:sz w:val="24"/>
          <w:szCs w:val="24"/>
          <w:lang w:val="en-US"/>
        </w:rPr>
        <w:t>Q</w:t>
      </w:r>
      <w:r w:rsidR="008A58FE" w:rsidRPr="008B76DC">
        <w:rPr>
          <w:rFonts w:ascii="Arial" w:hAnsi="Arial" w:cs="Arial"/>
          <w:sz w:val="24"/>
          <w:szCs w:val="24"/>
          <w:lang w:val="en-US"/>
        </w:rPr>
        <w:t xml:space="preserve">uestions were prepared </w:t>
      </w:r>
      <w:r w:rsidR="00B504B6" w:rsidRPr="008B76DC">
        <w:rPr>
          <w:rFonts w:ascii="Arial" w:hAnsi="Arial" w:cs="Arial"/>
          <w:sz w:val="24"/>
          <w:szCs w:val="24"/>
          <w:lang w:val="en-US"/>
        </w:rPr>
        <w:t>exclusively</w:t>
      </w:r>
      <w:r w:rsidR="008A58FE" w:rsidRPr="008B76DC">
        <w:rPr>
          <w:rFonts w:ascii="Arial" w:hAnsi="Arial" w:cs="Arial"/>
          <w:sz w:val="24"/>
          <w:szCs w:val="24"/>
          <w:lang w:val="en-US"/>
        </w:rPr>
        <w:t xml:space="preserve"> by the researcher, and, for future studies, a peer review technique can be implemented in order to </w:t>
      </w:r>
      <w:r w:rsidRPr="008B76DC">
        <w:rPr>
          <w:rFonts w:ascii="Arial" w:hAnsi="Arial" w:cs="Arial"/>
          <w:sz w:val="24"/>
          <w:szCs w:val="24"/>
          <w:lang w:val="en-US"/>
        </w:rPr>
        <w:t>analyze</w:t>
      </w:r>
      <w:r w:rsidR="008A58FE" w:rsidRPr="008B76DC">
        <w:rPr>
          <w:rFonts w:ascii="Arial" w:hAnsi="Arial" w:cs="Arial"/>
          <w:sz w:val="24"/>
          <w:szCs w:val="24"/>
          <w:lang w:val="en-US"/>
        </w:rPr>
        <w:t xml:space="preserve"> the cognitive level of Bloom's Taxonomy for qu</w:t>
      </w:r>
      <w:r w:rsidRPr="008B76DC">
        <w:rPr>
          <w:rFonts w:ascii="Arial" w:hAnsi="Arial" w:cs="Arial"/>
          <w:sz w:val="24"/>
          <w:szCs w:val="24"/>
          <w:lang w:val="en-US"/>
        </w:rPr>
        <w:t>estions of</w:t>
      </w:r>
      <w:r w:rsidR="00B504B6" w:rsidRPr="008B76DC">
        <w:rPr>
          <w:rFonts w:ascii="Arial" w:hAnsi="Arial" w:cs="Arial"/>
          <w:sz w:val="24"/>
          <w:szCs w:val="24"/>
          <w:lang w:val="en-US"/>
        </w:rPr>
        <w:t xml:space="preserve"> the tests, aiming</w:t>
      </w:r>
      <w:r w:rsidR="008A58FE" w:rsidRPr="008B76DC">
        <w:rPr>
          <w:rFonts w:ascii="Arial" w:hAnsi="Arial" w:cs="Arial"/>
          <w:sz w:val="24"/>
          <w:szCs w:val="24"/>
          <w:lang w:val="en-US"/>
        </w:rPr>
        <w:t xml:space="preserve"> reliability and agreement between evaluators </w:t>
      </w:r>
      <w:r w:rsidR="00B504B6" w:rsidRPr="008B76DC">
        <w:rPr>
          <w:rFonts w:ascii="Arial" w:hAnsi="Arial" w:cs="Arial"/>
          <w:sz w:val="24"/>
          <w:szCs w:val="24"/>
          <w:lang w:val="en-US"/>
        </w:rPr>
        <w:t xml:space="preserve">through the use of </w:t>
      </w:r>
      <w:r w:rsidR="008A58FE" w:rsidRPr="008B76DC">
        <w:rPr>
          <w:rFonts w:ascii="Arial" w:hAnsi="Arial" w:cs="Arial"/>
          <w:sz w:val="24"/>
          <w:szCs w:val="24"/>
          <w:lang w:val="en-US"/>
        </w:rPr>
        <w:t xml:space="preserve">the </w:t>
      </w:r>
      <w:r w:rsidR="008A58FE" w:rsidRPr="008B76DC">
        <w:rPr>
          <w:rFonts w:ascii="Arial" w:hAnsi="Arial" w:cs="Arial"/>
          <w:i/>
          <w:sz w:val="24"/>
          <w:szCs w:val="24"/>
          <w:lang w:val="en-US"/>
        </w:rPr>
        <w:t>kappa</w:t>
      </w:r>
      <w:r w:rsidR="008A58FE" w:rsidRPr="008B76DC">
        <w:rPr>
          <w:rFonts w:ascii="Arial" w:hAnsi="Arial" w:cs="Arial"/>
          <w:sz w:val="24"/>
          <w:szCs w:val="24"/>
          <w:lang w:val="en-US"/>
        </w:rPr>
        <w:t xml:space="preserve"> statistic test.</w:t>
      </w:r>
    </w:p>
    <w:p w:rsidR="00321B5B" w:rsidRPr="008B76DC" w:rsidRDefault="006D5088" w:rsidP="00F9684D">
      <w:pPr>
        <w:spacing w:after="0" w:line="480" w:lineRule="auto"/>
        <w:ind w:firstLine="708"/>
        <w:rPr>
          <w:rFonts w:ascii="Arial" w:hAnsi="Arial" w:cs="Arial"/>
          <w:sz w:val="24"/>
          <w:szCs w:val="24"/>
          <w:lang w:val="en-US"/>
        </w:rPr>
      </w:pPr>
      <w:r w:rsidRPr="008B76DC">
        <w:rPr>
          <w:rFonts w:ascii="Arial" w:hAnsi="Arial" w:cs="Arial"/>
          <w:sz w:val="24"/>
          <w:szCs w:val="24"/>
          <w:lang w:val="en-US"/>
        </w:rPr>
        <w:t>By</w:t>
      </w:r>
      <w:r w:rsidR="00C04DD9" w:rsidRPr="008B76DC">
        <w:rPr>
          <w:rFonts w:ascii="Arial" w:hAnsi="Arial" w:cs="Arial"/>
          <w:sz w:val="24"/>
          <w:szCs w:val="24"/>
          <w:lang w:val="en-US"/>
        </w:rPr>
        <w:t xml:space="preserve"> comparing the results of the diagnostic and summative assessments based on Bloom's Taxonomy at all levels of the cognitive domain, positive results were observed regarding the students' performance in acquiring kno</w:t>
      </w:r>
      <w:r w:rsidRPr="008B76DC">
        <w:rPr>
          <w:rFonts w:ascii="Arial" w:hAnsi="Arial" w:cs="Arial"/>
          <w:sz w:val="24"/>
          <w:szCs w:val="24"/>
          <w:lang w:val="en-US"/>
        </w:rPr>
        <w:t>wledge during the disciplines</w:t>
      </w:r>
      <w:r w:rsidR="00C04DD9" w:rsidRPr="008B76DC">
        <w:rPr>
          <w:rFonts w:ascii="Arial" w:hAnsi="Arial" w:cs="Arial"/>
          <w:sz w:val="24"/>
          <w:szCs w:val="24"/>
          <w:lang w:val="en-US"/>
        </w:rPr>
        <w:t xml:space="preserve"> Pharmaceutical Care I and II.</w:t>
      </w:r>
    </w:p>
    <w:p w:rsidR="00A64334" w:rsidRPr="008B76DC" w:rsidRDefault="00A64334" w:rsidP="00F9684D">
      <w:pPr>
        <w:spacing w:after="0" w:line="480" w:lineRule="auto"/>
        <w:ind w:firstLine="708"/>
        <w:rPr>
          <w:rFonts w:ascii="Arial" w:hAnsi="Arial" w:cs="Arial"/>
          <w:sz w:val="24"/>
          <w:szCs w:val="24"/>
          <w:lang w:val="en-US"/>
        </w:rPr>
      </w:pPr>
      <w:r w:rsidRPr="008B76DC">
        <w:rPr>
          <w:rFonts w:ascii="Arial" w:hAnsi="Arial" w:cs="Arial"/>
          <w:sz w:val="24"/>
          <w:szCs w:val="24"/>
          <w:lang w:val="en-US"/>
        </w:rPr>
        <w:t>Well-structured multiple-choice questions that incorporate different learning domains of Bloom's Taxonomy is an excellent method to evaluate students' knowledge.</w:t>
      </w:r>
    </w:p>
    <w:p w:rsidR="0097438B" w:rsidRPr="008B76DC" w:rsidRDefault="00A64334" w:rsidP="00F9684D">
      <w:pPr>
        <w:spacing w:after="0" w:line="480" w:lineRule="auto"/>
        <w:ind w:firstLine="708"/>
        <w:rPr>
          <w:rFonts w:ascii="Arial" w:hAnsi="Arial" w:cs="Arial"/>
          <w:sz w:val="24"/>
          <w:szCs w:val="24"/>
          <w:lang w:val="en-US"/>
        </w:rPr>
      </w:pPr>
      <w:r w:rsidRPr="008B76DC">
        <w:rPr>
          <w:rFonts w:ascii="Arial" w:hAnsi="Arial" w:cs="Arial"/>
          <w:sz w:val="24"/>
          <w:szCs w:val="24"/>
          <w:lang w:val="en-US"/>
        </w:rPr>
        <w:t>The results of this study can guide the faculty at the Federal University of Paraná in the process of elaboration learning goals for their disciplines, linking professors to a more elaborate assessment.</w:t>
      </w:r>
    </w:p>
    <w:p w:rsidR="00321B5B" w:rsidRPr="008B76DC" w:rsidRDefault="00321B5B" w:rsidP="00310C02">
      <w:pPr>
        <w:spacing w:after="0" w:line="480" w:lineRule="auto"/>
        <w:rPr>
          <w:rFonts w:ascii="Arial" w:hAnsi="Arial" w:cs="Arial"/>
          <w:sz w:val="24"/>
          <w:szCs w:val="24"/>
          <w:lang w:val="en-US"/>
        </w:rPr>
      </w:pPr>
    </w:p>
    <w:p w:rsidR="00F33F31" w:rsidRPr="008B76DC" w:rsidRDefault="004050B0" w:rsidP="00310C02">
      <w:pPr>
        <w:spacing w:after="0" w:line="480" w:lineRule="auto"/>
        <w:rPr>
          <w:rFonts w:ascii="Arial" w:hAnsi="Arial" w:cs="Arial"/>
          <w:sz w:val="24"/>
          <w:szCs w:val="24"/>
          <w:lang w:val="en-US"/>
        </w:rPr>
      </w:pPr>
      <w:r w:rsidRPr="008B76DC">
        <w:rPr>
          <w:rFonts w:ascii="Arial" w:hAnsi="Arial" w:cs="Arial"/>
          <w:sz w:val="24"/>
          <w:szCs w:val="24"/>
          <w:lang w:val="en-US"/>
        </w:rPr>
        <w:t>REFERENCES</w:t>
      </w:r>
    </w:p>
    <w:p w:rsidR="005247EF" w:rsidRPr="008B76DC" w:rsidRDefault="00771EB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sz w:val="24"/>
          <w:szCs w:val="24"/>
          <w:lang w:val="en-US"/>
        </w:rPr>
        <w:fldChar w:fldCharType="begin" w:fldLock="1"/>
      </w:r>
      <w:r w:rsidR="005247EF" w:rsidRPr="008B76DC">
        <w:rPr>
          <w:rFonts w:ascii="Arial" w:hAnsi="Arial" w:cs="Arial"/>
          <w:sz w:val="24"/>
          <w:szCs w:val="24"/>
          <w:lang w:val="en-US"/>
        </w:rPr>
        <w:instrText xml:space="preserve">ADDIN Mendeley Bibliography CSL_BIBLIOGRAPHY </w:instrText>
      </w:r>
      <w:r w:rsidRPr="008B76DC">
        <w:rPr>
          <w:rFonts w:ascii="Arial" w:hAnsi="Arial" w:cs="Arial"/>
          <w:sz w:val="24"/>
          <w:szCs w:val="24"/>
          <w:lang w:val="en-US"/>
        </w:rPr>
        <w:fldChar w:fldCharType="separate"/>
      </w:r>
      <w:r w:rsidR="005247EF" w:rsidRPr="008B76DC">
        <w:rPr>
          <w:rFonts w:ascii="Arial" w:hAnsi="Arial" w:cs="Arial"/>
          <w:noProof/>
          <w:sz w:val="24"/>
          <w:szCs w:val="24"/>
        </w:rPr>
        <w:t xml:space="preserve">1. </w:t>
      </w:r>
      <w:r w:rsidR="005247EF" w:rsidRPr="008B76DC">
        <w:rPr>
          <w:rFonts w:ascii="Arial" w:hAnsi="Arial" w:cs="Arial"/>
          <w:noProof/>
          <w:sz w:val="24"/>
          <w:szCs w:val="24"/>
        </w:rPr>
        <w:tab/>
      </w:r>
      <w:r w:rsidR="005247EF" w:rsidRPr="008B76DC">
        <w:rPr>
          <w:rFonts w:ascii="Arial" w:hAnsi="Arial" w:cs="Arial"/>
          <w:i/>
          <w:iCs/>
          <w:noProof/>
          <w:sz w:val="24"/>
          <w:szCs w:val="24"/>
        </w:rPr>
        <w:t>BRASIL. Ministério Da Educação. Resolução CNE/CES N</w:t>
      </w:r>
      <w:r w:rsidR="005247EF" w:rsidRPr="008B76DC">
        <w:rPr>
          <w:rFonts w:ascii="Arial" w:hAnsi="Arial" w:cs="Arial"/>
          <w:i/>
          <w:iCs/>
          <w:noProof/>
          <w:sz w:val="24"/>
          <w:szCs w:val="24"/>
          <w:vertAlign w:val="superscript"/>
        </w:rPr>
        <w:t>o</w:t>
      </w:r>
      <w:r w:rsidR="005247EF" w:rsidRPr="008B76DC">
        <w:rPr>
          <w:rFonts w:ascii="Arial" w:hAnsi="Arial" w:cs="Arial"/>
          <w:i/>
          <w:iCs/>
          <w:noProof/>
          <w:sz w:val="24"/>
          <w:szCs w:val="24"/>
        </w:rPr>
        <w:t xml:space="preserve"> 02, de 19 de Fevereiro de 2002. Institui Diretrizes Curriculares Nacionais Do Curso de Graduação Em Farmácia. Diário Oficial Da República Federativa Do Brasil</w:t>
      </w:r>
      <w:r w:rsidR="005247EF" w:rsidRPr="008B76DC">
        <w:rPr>
          <w:rFonts w:ascii="Arial" w:hAnsi="Arial" w:cs="Arial"/>
          <w:noProof/>
          <w:sz w:val="24"/>
          <w:szCs w:val="24"/>
        </w:rPr>
        <w:t>. Brasília, DF.</w:t>
      </w:r>
    </w:p>
    <w:p w:rsidR="005247EF" w:rsidRPr="008B76DC" w:rsidRDefault="00AD28B2" w:rsidP="00310C02">
      <w:pPr>
        <w:widowControl w:val="0"/>
        <w:autoSpaceDE w:val="0"/>
        <w:autoSpaceDN w:val="0"/>
        <w:adjustRightInd w:val="0"/>
        <w:spacing w:after="0" w:line="480" w:lineRule="auto"/>
        <w:ind w:left="640" w:hanging="640"/>
        <w:rPr>
          <w:rFonts w:ascii="Arial" w:hAnsi="Arial" w:cs="Arial"/>
          <w:noProof/>
          <w:sz w:val="24"/>
          <w:szCs w:val="24"/>
        </w:rPr>
      </w:pPr>
      <w:r>
        <w:rPr>
          <w:rFonts w:ascii="Arial" w:hAnsi="Arial" w:cs="Arial"/>
          <w:noProof/>
          <w:sz w:val="24"/>
          <w:szCs w:val="24"/>
        </w:rPr>
        <w:t xml:space="preserve">2. </w:t>
      </w:r>
      <w:r>
        <w:rPr>
          <w:rFonts w:ascii="Arial" w:hAnsi="Arial" w:cs="Arial"/>
          <w:noProof/>
          <w:sz w:val="24"/>
          <w:szCs w:val="24"/>
        </w:rPr>
        <w:tab/>
        <w:t>WHO</w:t>
      </w:r>
      <w:r w:rsidR="005247EF" w:rsidRPr="008B76DC">
        <w:rPr>
          <w:rFonts w:ascii="Arial" w:hAnsi="Arial" w:cs="Arial"/>
          <w:noProof/>
          <w:sz w:val="24"/>
          <w:szCs w:val="24"/>
        </w:rPr>
        <w:t xml:space="preserve">. The role of the pharmacist in the health care system, preparing the future pharmacist: curricular development: report of a third WHO Consultative </w:t>
      </w:r>
      <w:r w:rsidR="005247EF" w:rsidRPr="008B76DC">
        <w:rPr>
          <w:rFonts w:ascii="Arial" w:hAnsi="Arial" w:cs="Arial"/>
          <w:noProof/>
          <w:sz w:val="24"/>
          <w:szCs w:val="24"/>
        </w:rPr>
        <w:lastRenderedPageBreak/>
        <w:t>Group on the role of the Pharmacist, World Health Organization. http://apps.who.int/medicinedocs/pdf/s2214e/s2214e.pdf. Published 1997. Accessed March 20, 2016.</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3. </w:t>
      </w:r>
      <w:r w:rsidRPr="008B76DC">
        <w:rPr>
          <w:rFonts w:ascii="Arial" w:hAnsi="Arial" w:cs="Arial"/>
          <w:noProof/>
          <w:sz w:val="24"/>
          <w:szCs w:val="24"/>
        </w:rPr>
        <w:tab/>
        <w:t xml:space="preserve">Hepler CD, Strand LM. Opportunities and responsibilities in pharmaceutical care. </w:t>
      </w:r>
      <w:r w:rsidRPr="008B76DC">
        <w:rPr>
          <w:rFonts w:ascii="Arial" w:hAnsi="Arial" w:cs="Arial"/>
          <w:i/>
          <w:iCs/>
          <w:noProof/>
          <w:sz w:val="24"/>
          <w:szCs w:val="24"/>
        </w:rPr>
        <w:t>Am J Hosp Pharm</w:t>
      </w:r>
      <w:r w:rsidRPr="008B76DC">
        <w:rPr>
          <w:rFonts w:ascii="Arial" w:hAnsi="Arial" w:cs="Arial"/>
          <w:noProof/>
          <w:sz w:val="24"/>
          <w:szCs w:val="24"/>
        </w:rPr>
        <w:t>. 1990;47(3):533-543. http://www.ncbi.nlm.nih.gov/pubmed/2316538.</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4. </w:t>
      </w:r>
      <w:r w:rsidRPr="008B76DC">
        <w:rPr>
          <w:rFonts w:ascii="Arial" w:hAnsi="Arial" w:cs="Arial"/>
          <w:noProof/>
          <w:sz w:val="24"/>
          <w:szCs w:val="24"/>
        </w:rPr>
        <w:tab/>
        <w:t xml:space="preserve">Brasil, Ministério da Saúde, Secretaria de Ciência TEIE, Departamento de Assistência Farmacêutica e Insumos Estratégicos. </w:t>
      </w:r>
      <w:r w:rsidRPr="008B76DC">
        <w:rPr>
          <w:rFonts w:ascii="Arial" w:hAnsi="Arial" w:cs="Arial"/>
          <w:i/>
          <w:iCs/>
          <w:noProof/>
          <w:sz w:val="24"/>
          <w:szCs w:val="24"/>
        </w:rPr>
        <w:t>Caderno 2. Capacitação Para Implantação Dos Serviços de Clínica Farmacêutica</w:t>
      </w:r>
      <w:r w:rsidRPr="008B76DC">
        <w:rPr>
          <w:rFonts w:ascii="Arial" w:hAnsi="Arial" w:cs="Arial"/>
          <w:noProof/>
          <w:sz w:val="24"/>
          <w:szCs w:val="24"/>
        </w:rPr>
        <w:t>.; 2014.</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5. </w:t>
      </w:r>
      <w:r w:rsidRPr="008B76DC">
        <w:rPr>
          <w:rFonts w:ascii="Arial" w:hAnsi="Arial" w:cs="Arial"/>
          <w:noProof/>
          <w:sz w:val="24"/>
          <w:szCs w:val="24"/>
        </w:rPr>
        <w:tab/>
        <w:t xml:space="preserve">Arieira JDO, Dias-Arieira CR, Fusco JPA, Sacomano JB, Bettega MODP. Avaliação do aprendizado via educação a distância : a visão dos discentes. </w:t>
      </w:r>
      <w:r w:rsidRPr="008B76DC">
        <w:rPr>
          <w:rFonts w:ascii="Arial" w:hAnsi="Arial" w:cs="Arial"/>
          <w:i/>
          <w:iCs/>
          <w:noProof/>
          <w:sz w:val="24"/>
          <w:szCs w:val="24"/>
        </w:rPr>
        <w:t>Ens aval pol públ Educ</w:t>
      </w:r>
      <w:r w:rsidRPr="008B76DC">
        <w:rPr>
          <w:rFonts w:ascii="Arial" w:hAnsi="Arial" w:cs="Arial"/>
          <w:noProof/>
          <w:sz w:val="24"/>
          <w:szCs w:val="24"/>
        </w:rPr>
        <w:t>. 2009;v. 17(n. 63):313-340. doi:10.1590/S0104-40362009000200007.</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6. </w:t>
      </w:r>
      <w:r w:rsidRPr="008B76DC">
        <w:rPr>
          <w:rFonts w:ascii="Arial" w:hAnsi="Arial" w:cs="Arial"/>
          <w:noProof/>
          <w:sz w:val="24"/>
          <w:szCs w:val="24"/>
        </w:rPr>
        <w:tab/>
        <w:t xml:space="preserve">Garrison DR, Kanuka H. Blended learning: Uncovering its transformative potential in higher education. </w:t>
      </w:r>
      <w:r w:rsidRPr="008B76DC">
        <w:rPr>
          <w:rFonts w:ascii="Arial" w:hAnsi="Arial" w:cs="Arial"/>
          <w:i/>
          <w:iCs/>
          <w:noProof/>
          <w:sz w:val="24"/>
          <w:szCs w:val="24"/>
        </w:rPr>
        <w:t>Internet High Educ</w:t>
      </w:r>
      <w:r w:rsidRPr="008B76DC">
        <w:rPr>
          <w:rFonts w:ascii="Arial" w:hAnsi="Arial" w:cs="Arial"/>
          <w:noProof/>
          <w:sz w:val="24"/>
          <w:szCs w:val="24"/>
        </w:rPr>
        <w:t>. 2004;7(2):95-105. doi:10.1016/j.iheduc.2004.02.001.</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7. </w:t>
      </w:r>
      <w:r w:rsidRPr="008B76DC">
        <w:rPr>
          <w:rFonts w:ascii="Arial" w:hAnsi="Arial" w:cs="Arial"/>
          <w:noProof/>
          <w:sz w:val="24"/>
          <w:szCs w:val="24"/>
        </w:rPr>
        <w:tab/>
        <w:t xml:space="preserve">HORN, M.B.; STAKER H. </w:t>
      </w:r>
      <w:r w:rsidRPr="008B76DC">
        <w:rPr>
          <w:rFonts w:ascii="Arial" w:hAnsi="Arial" w:cs="Arial"/>
          <w:i/>
          <w:iCs/>
          <w:noProof/>
          <w:sz w:val="24"/>
          <w:szCs w:val="24"/>
        </w:rPr>
        <w:t>Blended: Usando a Inovação Disruptiva Para Aprimorar a Educação. Tradução: Maria Cristina Gularte Monteiro</w:t>
      </w:r>
      <w:r w:rsidRPr="008B76DC">
        <w:rPr>
          <w:rFonts w:ascii="Arial" w:hAnsi="Arial" w:cs="Arial"/>
          <w:noProof/>
          <w:sz w:val="24"/>
          <w:szCs w:val="24"/>
        </w:rPr>
        <w:t>. Porto Alegre: Penso; 2015.</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8. </w:t>
      </w:r>
      <w:r w:rsidRPr="008B76DC">
        <w:rPr>
          <w:rFonts w:ascii="Arial" w:hAnsi="Arial" w:cs="Arial"/>
          <w:noProof/>
          <w:sz w:val="24"/>
          <w:szCs w:val="24"/>
        </w:rPr>
        <w:tab/>
        <w:t xml:space="preserve">Mesquita AR, Souza WM, Boaventura TC, et al. The effect of active learning methodologies on the teaching of pharmaceutical care in a Brazilian pharmacy faculty. </w:t>
      </w:r>
      <w:r w:rsidRPr="008B76DC">
        <w:rPr>
          <w:rFonts w:ascii="Arial" w:hAnsi="Arial" w:cs="Arial"/>
          <w:i/>
          <w:iCs/>
          <w:noProof/>
          <w:sz w:val="24"/>
          <w:szCs w:val="24"/>
        </w:rPr>
        <w:t>PLoS One</w:t>
      </w:r>
      <w:r w:rsidRPr="008B76DC">
        <w:rPr>
          <w:rFonts w:ascii="Arial" w:hAnsi="Arial" w:cs="Arial"/>
          <w:noProof/>
          <w:sz w:val="24"/>
          <w:szCs w:val="24"/>
        </w:rPr>
        <w:t>. 2015;10(5):1-16. doi:10.1371/journal.pone.0123141.</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9. </w:t>
      </w:r>
      <w:r w:rsidRPr="008B76DC">
        <w:rPr>
          <w:rFonts w:ascii="Arial" w:hAnsi="Arial" w:cs="Arial"/>
          <w:noProof/>
          <w:sz w:val="24"/>
          <w:szCs w:val="24"/>
        </w:rPr>
        <w:tab/>
        <w:t xml:space="preserve">BLOOM, B.S.  et al. </w:t>
      </w:r>
      <w:r w:rsidRPr="008B76DC">
        <w:rPr>
          <w:rFonts w:ascii="Arial" w:hAnsi="Arial" w:cs="Arial"/>
          <w:i/>
          <w:iCs/>
          <w:noProof/>
          <w:sz w:val="24"/>
          <w:szCs w:val="24"/>
        </w:rPr>
        <w:t>Taxonomy of Educational Objectives: The Classification of Educational Goals. Handbook I: Cognitive Domain</w:t>
      </w:r>
      <w:r w:rsidRPr="008B76DC">
        <w:rPr>
          <w:rFonts w:ascii="Arial" w:hAnsi="Arial" w:cs="Arial"/>
          <w:noProof/>
          <w:sz w:val="24"/>
          <w:szCs w:val="24"/>
        </w:rPr>
        <w:t>. New York: Longman; 1956.</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10. </w:t>
      </w:r>
      <w:r w:rsidRPr="008B76DC">
        <w:rPr>
          <w:rFonts w:ascii="Arial" w:hAnsi="Arial" w:cs="Arial"/>
          <w:noProof/>
          <w:sz w:val="24"/>
          <w:szCs w:val="24"/>
        </w:rPr>
        <w:tab/>
        <w:t xml:space="preserve">Belhot RV. Taxonomia de Bloom : revisão teórica e apresentação das </w:t>
      </w:r>
      <w:r w:rsidRPr="008B76DC">
        <w:rPr>
          <w:rFonts w:ascii="Arial" w:hAnsi="Arial" w:cs="Arial"/>
          <w:noProof/>
          <w:sz w:val="24"/>
          <w:szCs w:val="24"/>
        </w:rPr>
        <w:lastRenderedPageBreak/>
        <w:t>adequações do instrumento para definição de objetivos instrucionais. 2010:421-431.</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11. </w:t>
      </w:r>
      <w:r w:rsidRPr="008B76DC">
        <w:rPr>
          <w:rFonts w:ascii="Arial" w:hAnsi="Arial" w:cs="Arial"/>
          <w:noProof/>
          <w:sz w:val="24"/>
          <w:szCs w:val="24"/>
        </w:rPr>
        <w:tab/>
        <w:t xml:space="preserve">GIL A. </w:t>
      </w:r>
      <w:r w:rsidRPr="008B76DC">
        <w:rPr>
          <w:rFonts w:ascii="Arial" w:hAnsi="Arial" w:cs="Arial"/>
          <w:i/>
          <w:iCs/>
          <w:noProof/>
          <w:sz w:val="24"/>
          <w:szCs w:val="24"/>
        </w:rPr>
        <w:t>Didática Do Ensino Superior.</w:t>
      </w:r>
      <w:r w:rsidRPr="008B76DC">
        <w:rPr>
          <w:rFonts w:ascii="Arial" w:hAnsi="Arial" w:cs="Arial"/>
          <w:noProof/>
          <w:sz w:val="24"/>
          <w:szCs w:val="24"/>
        </w:rPr>
        <w:t xml:space="preserve"> 1. ed. São Paulo: Atlas; 2011.</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12. </w:t>
      </w:r>
      <w:r w:rsidRPr="008B76DC">
        <w:rPr>
          <w:rFonts w:ascii="Arial" w:hAnsi="Arial" w:cs="Arial"/>
          <w:noProof/>
          <w:sz w:val="24"/>
          <w:szCs w:val="24"/>
        </w:rPr>
        <w:tab/>
        <w:t xml:space="preserve">ANDERSON, L.W.; KRATHWOHL DR. </w:t>
      </w:r>
      <w:r w:rsidRPr="008B76DC">
        <w:rPr>
          <w:rFonts w:ascii="Arial" w:hAnsi="Arial" w:cs="Arial"/>
          <w:i/>
          <w:iCs/>
          <w:noProof/>
          <w:sz w:val="24"/>
          <w:szCs w:val="24"/>
        </w:rPr>
        <w:t>A Taxonomy for Learning, Teaching and Assessing: A Revision of Bloom’s Taxonomy of Educational Objectives</w:t>
      </w:r>
      <w:r w:rsidRPr="008B76DC">
        <w:rPr>
          <w:rFonts w:ascii="Arial" w:hAnsi="Arial" w:cs="Arial"/>
          <w:noProof/>
          <w:sz w:val="24"/>
          <w:szCs w:val="24"/>
        </w:rPr>
        <w:t>. New York: Addison Wesley Longman; 2001.</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13. </w:t>
      </w:r>
      <w:r w:rsidRPr="008B76DC">
        <w:rPr>
          <w:rFonts w:ascii="Arial" w:hAnsi="Arial" w:cs="Arial"/>
          <w:noProof/>
          <w:sz w:val="24"/>
          <w:szCs w:val="24"/>
        </w:rPr>
        <w:tab/>
        <w:t xml:space="preserve">VYGOTSKY LS. </w:t>
      </w:r>
      <w:r w:rsidRPr="008B76DC">
        <w:rPr>
          <w:rFonts w:ascii="Arial" w:hAnsi="Arial" w:cs="Arial"/>
          <w:i/>
          <w:iCs/>
          <w:noProof/>
          <w:sz w:val="24"/>
          <w:szCs w:val="24"/>
        </w:rPr>
        <w:t>Pensamento E Linguagem</w:t>
      </w:r>
      <w:r w:rsidRPr="008B76DC">
        <w:rPr>
          <w:rFonts w:ascii="Arial" w:hAnsi="Arial" w:cs="Arial"/>
          <w:noProof/>
          <w:sz w:val="24"/>
          <w:szCs w:val="24"/>
        </w:rPr>
        <w:t>. São Paulo: Martins Fontes; 1993.</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14. </w:t>
      </w:r>
      <w:r w:rsidRPr="008B76DC">
        <w:rPr>
          <w:rFonts w:ascii="Arial" w:hAnsi="Arial" w:cs="Arial"/>
          <w:noProof/>
          <w:sz w:val="24"/>
          <w:szCs w:val="24"/>
        </w:rPr>
        <w:tab/>
        <w:t xml:space="preserve">VYGOTSKY LS. </w:t>
      </w:r>
      <w:r w:rsidRPr="008B76DC">
        <w:rPr>
          <w:rFonts w:ascii="Arial" w:hAnsi="Arial" w:cs="Arial"/>
          <w:i/>
          <w:iCs/>
          <w:noProof/>
          <w:sz w:val="24"/>
          <w:szCs w:val="24"/>
        </w:rPr>
        <w:t>A Formação Social Da Mente: O Desenvolvimento Dos Processos Psicológicos Superiores</w:t>
      </w:r>
      <w:r w:rsidRPr="008B76DC">
        <w:rPr>
          <w:rFonts w:ascii="Arial" w:hAnsi="Arial" w:cs="Arial"/>
          <w:noProof/>
          <w:sz w:val="24"/>
          <w:szCs w:val="24"/>
        </w:rPr>
        <w:t>. São Paulo: Martins Fontes; 1994.</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15. </w:t>
      </w:r>
      <w:r w:rsidRPr="008B76DC">
        <w:rPr>
          <w:rFonts w:ascii="Arial" w:hAnsi="Arial" w:cs="Arial"/>
          <w:noProof/>
          <w:sz w:val="24"/>
          <w:szCs w:val="24"/>
        </w:rPr>
        <w:tab/>
        <w:t xml:space="preserve">Black P, Wiliam D. Inside the Black Box: Raising Standards Through Classroom Assessment. </w:t>
      </w:r>
      <w:r w:rsidRPr="008B76DC">
        <w:rPr>
          <w:rFonts w:ascii="Arial" w:hAnsi="Arial" w:cs="Arial"/>
          <w:i/>
          <w:iCs/>
          <w:noProof/>
          <w:sz w:val="24"/>
          <w:szCs w:val="24"/>
        </w:rPr>
        <w:t>Phi Delta Kappan</w:t>
      </w:r>
      <w:r w:rsidRPr="008B76DC">
        <w:rPr>
          <w:rFonts w:ascii="Arial" w:hAnsi="Arial" w:cs="Arial"/>
          <w:noProof/>
          <w:sz w:val="24"/>
          <w:szCs w:val="24"/>
        </w:rPr>
        <w:t>. 1998;80(2):139-148. doi:10.1002/hrm.</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16. </w:t>
      </w:r>
      <w:r w:rsidRPr="008B76DC">
        <w:rPr>
          <w:rFonts w:ascii="Arial" w:hAnsi="Arial" w:cs="Arial"/>
          <w:noProof/>
          <w:sz w:val="24"/>
          <w:szCs w:val="24"/>
        </w:rPr>
        <w:tab/>
        <w:t xml:space="preserve">Case SM, Swanson DB. Constructing Written Test Questions For the Basic and Clinical Sciences. </w:t>
      </w:r>
      <w:r w:rsidRPr="008B76DC">
        <w:rPr>
          <w:rFonts w:ascii="Arial" w:hAnsi="Arial" w:cs="Arial"/>
          <w:i/>
          <w:iCs/>
          <w:noProof/>
          <w:sz w:val="24"/>
          <w:szCs w:val="24"/>
        </w:rPr>
        <w:t>Director</w:t>
      </w:r>
      <w:r w:rsidRPr="008B76DC">
        <w:rPr>
          <w:rFonts w:ascii="Arial" w:hAnsi="Arial" w:cs="Arial"/>
          <w:noProof/>
          <w:sz w:val="24"/>
          <w:szCs w:val="24"/>
        </w:rPr>
        <w:t>. 2002;27(21):112. http://www.nbme.org/PDF/ItemWriting_2003/2003IWGwhole.pdf.</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17. </w:t>
      </w:r>
      <w:r w:rsidRPr="008B76DC">
        <w:rPr>
          <w:rFonts w:ascii="Arial" w:hAnsi="Arial" w:cs="Arial"/>
          <w:noProof/>
          <w:sz w:val="24"/>
          <w:szCs w:val="24"/>
        </w:rPr>
        <w:tab/>
        <w:t xml:space="preserve">Crouch MA. An advanced cardiovascular pharmacotherapy course blending online and face-to-face instruction. </w:t>
      </w:r>
      <w:r w:rsidRPr="008B76DC">
        <w:rPr>
          <w:rFonts w:ascii="Arial" w:hAnsi="Arial" w:cs="Arial"/>
          <w:i/>
          <w:iCs/>
          <w:noProof/>
          <w:sz w:val="24"/>
          <w:szCs w:val="24"/>
        </w:rPr>
        <w:t>Am J Pharm Educ</w:t>
      </w:r>
      <w:r w:rsidRPr="008B76DC">
        <w:rPr>
          <w:rFonts w:ascii="Arial" w:hAnsi="Arial" w:cs="Arial"/>
          <w:noProof/>
          <w:sz w:val="24"/>
          <w:szCs w:val="24"/>
        </w:rPr>
        <w:t>. 2009;73(3):4-6. doi:10.5688/aj730351.</w:t>
      </w:r>
      <w:r w:rsidR="00C14E07">
        <w:rPr>
          <w:rFonts w:ascii="Arial" w:hAnsi="Arial" w:cs="Arial"/>
          <w:noProof/>
          <w:sz w:val="24"/>
          <w:szCs w:val="24"/>
        </w:rPr>
        <w:t xml:space="preserve"> Article 51. </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18. </w:t>
      </w:r>
      <w:r w:rsidRPr="008B76DC">
        <w:rPr>
          <w:rFonts w:ascii="Arial" w:hAnsi="Arial" w:cs="Arial"/>
          <w:noProof/>
          <w:sz w:val="24"/>
          <w:szCs w:val="24"/>
        </w:rPr>
        <w:tab/>
        <w:t xml:space="preserve">Edginton A, Holbrook J. Instructional Design and Assessment: A Blended Learning Approach to Teaching Basic Pharmacokinetics and the Significance of Face-to-Face Interaction. </w:t>
      </w:r>
      <w:r w:rsidRPr="008B76DC">
        <w:rPr>
          <w:rFonts w:ascii="Arial" w:hAnsi="Arial" w:cs="Arial"/>
          <w:i/>
          <w:iCs/>
          <w:noProof/>
          <w:sz w:val="24"/>
          <w:szCs w:val="24"/>
        </w:rPr>
        <w:t>Am J Pharm Educ</w:t>
      </w:r>
      <w:r w:rsidRPr="008B76DC">
        <w:rPr>
          <w:rFonts w:ascii="Arial" w:hAnsi="Arial" w:cs="Arial"/>
          <w:noProof/>
          <w:sz w:val="24"/>
          <w:szCs w:val="24"/>
        </w:rPr>
        <w:t xml:space="preserve">. 2010;74(5):1-11. </w:t>
      </w:r>
      <w:r w:rsidR="000438E2">
        <w:rPr>
          <w:rFonts w:ascii="Arial" w:hAnsi="Arial" w:cs="Arial"/>
          <w:noProof/>
          <w:sz w:val="24"/>
          <w:szCs w:val="24"/>
        </w:rPr>
        <w:t xml:space="preserve">Article 88. </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19. </w:t>
      </w:r>
      <w:r w:rsidRPr="008B76DC">
        <w:rPr>
          <w:rFonts w:ascii="Arial" w:hAnsi="Arial" w:cs="Arial"/>
          <w:noProof/>
          <w:sz w:val="24"/>
          <w:szCs w:val="24"/>
        </w:rPr>
        <w:tab/>
        <w:t xml:space="preserve">Leonard SN, Murphy K, Zaeem M, DiVall M V. An introductory review module for an anti-infectives therapeutics course. </w:t>
      </w:r>
      <w:r w:rsidRPr="008B76DC">
        <w:rPr>
          <w:rFonts w:ascii="Arial" w:hAnsi="Arial" w:cs="Arial"/>
          <w:i/>
          <w:iCs/>
          <w:noProof/>
          <w:sz w:val="24"/>
          <w:szCs w:val="24"/>
        </w:rPr>
        <w:t>Am J Pharm Educ</w:t>
      </w:r>
      <w:r w:rsidRPr="008B76DC">
        <w:rPr>
          <w:rFonts w:ascii="Arial" w:hAnsi="Arial" w:cs="Arial"/>
          <w:noProof/>
          <w:sz w:val="24"/>
          <w:szCs w:val="24"/>
        </w:rPr>
        <w:t>. 2012;76(7):3-7.</w:t>
      </w:r>
      <w:r w:rsidR="00D46F1B">
        <w:rPr>
          <w:rFonts w:ascii="Arial" w:hAnsi="Arial" w:cs="Arial"/>
          <w:noProof/>
          <w:sz w:val="24"/>
          <w:szCs w:val="24"/>
        </w:rPr>
        <w:t xml:space="preserve"> Article 135.</w:t>
      </w:r>
      <w:r w:rsidRPr="008B76DC">
        <w:rPr>
          <w:rFonts w:ascii="Arial" w:hAnsi="Arial" w:cs="Arial"/>
          <w:noProof/>
          <w:sz w:val="24"/>
          <w:szCs w:val="24"/>
        </w:rPr>
        <w:t xml:space="preserve"> doi:10.5688/ajpe767135.</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20. </w:t>
      </w:r>
      <w:r w:rsidRPr="008B76DC">
        <w:rPr>
          <w:rFonts w:ascii="Arial" w:hAnsi="Arial" w:cs="Arial"/>
          <w:noProof/>
          <w:sz w:val="24"/>
          <w:szCs w:val="24"/>
        </w:rPr>
        <w:tab/>
        <w:t xml:space="preserve">Pierce, Richard; Fox J. Vodcasts and Active-Learning Exercises in a </w:t>
      </w:r>
      <w:r w:rsidRPr="008B76DC">
        <w:rPr>
          <w:rFonts w:ascii="Arial" w:hAnsi="Arial" w:cs="Arial"/>
          <w:noProof/>
          <w:sz w:val="24"/>
          <w:szCs w:val="24"/>
        </w:rPr>
        <w:lastRenderedPageBreak/>
        <w:t xml:space="preserve">&amp;quot;Flipped Classroom&amp;quot; Model of a Renal Pharmacotherapy Module. </w:t>
      </w:r>
      <w:r w:rsidRPr="008B76DC">
        <w:rPr>
          <w:rFonts w:ascii="Arial" w:hAnsi="Arial" w:cs="Arial"/>
          <w:i/>
          <w:iCs/>
          <w:noProof/>
          <w:sz w:val="24"/>
          <w:szCs w:val="24"/>
        </w:rPr>
        <w:t>Am J Pharm Educ</w:t>
      </w:r>
      <w:r w:rsidR="00D46F1B">
        <w:rPr>
          <w:rFonts w:ascii="Arial" w:hAnsi="Arial" w:cs="Arial"/>
          <w:noProof/>
          <w:sz w:val="24"/>
          <w:szCs w:val="24"/>
        </w:rPr>
        <w:t>. 2012;76(10). Article 196</w:t>
      </w:r>
      <w:r w:rsidRPr="008B76DC">
        <w:rPr>
          <w:rFonts w:ascii="Arial" w:hAnsi="Arial" w:cs="Arial"/>
          <w:noProof/>
          <w:sz w:val="24"/>
          <w:szCs w:val="24"/>
        </w:rPr>
        <w:t xml:space="preserve">. </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21. </w:t>
      </w:r>
      <w:r w:rsidRPr="008B76DC">
        <w:rPr>
          <w:rFonts w:ascii="Arial" w:hAnsi="Arial" w:cs="Arial"/>
          <w:noProof/>
          <w:sz w:val="24"/>
          <w:szCs w:val="24"/>
        </w:rPr>
        <w:tab/>
        <w:t xml:space="preserve">Matzat U. Do blended virtual learning communities enhance teachers’ professional development more than purely virtual ones? A large scale empirical comparison. </w:t>
      </w:r>
      <w:r w:rsidRPr="008B76DC">
        <w:rPr>
          <w:rFonts w:ascii="Arial" w:hAnsi="Arial" w:cs="Arial"/>
          <w:i/>
          <w:iCs/>
          <w:noProof/>
          <w:sz w:val="24"/>
          <w:szCs w:val="24"/>
        </w:rPr>
        <w:t>Comput Educ</w:t>
      </w:r>
      <w:r w:rsidRPr="008B76DC">
        <w:rPr>
          <w:rFonts w:ascii="Arial" w:hAnsi="Arial" w:cs="Arial"/>
          <w:noProof/>
          <w:sz w:val="24"/>
          <w:szCs w:val="24"/>
        </w:rPr>
        <w:t>. 2013;60(1):40-51. doi:10.1016/j.compedu.2012.08.006.</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22. </w:t>
      </w:r>
      <w:r w:rsidRPr="008B76DC">
        <w:rPr>
          <w:rFonts w:ascii="Arial" w:hAnsi="Arial" w:cs="Arial"/>
          <w:noProof/>
          <w:sz w:val="24"/>
          <w:szCs w:val="24"/>
        </w:rPr>
        <w:tab/>
        <w:t xml:space="preserve">Kirschner PA, Sweller J, Clark RE. Why Minimal Guidance During Instruction Does Not Work. </w:t>
      </w:r>
      <w:r w:rsidRPr="008B76DC">
        <w:rPr>
          <w:rFonts w:ascii="Arial" w:hAnsi="Arial" w:cs="Arial"/>
          <w:i/>
          <w:iCs/>
          <w:noProof/>
          <w:sz w:val="24"/>
          <w:szCs w:val="24"/>
        </w:rPr>
        <w:t>Educ Psychol</w:t>
      </w:r>
      <w:r w:rsidRPr="008B76DC">
        <w:rPr>
          <w:rFonts w:ascii="Arial" w:hAnsi="Arial" w:cs="Arial"/>
          <w:noProof/>
          <w:sz w:val="24"/>
          <w:szCs w:val="24"/>
        </w:rPr>
        <w:t>. 2006;41(March 2015):87-98. doi:10.1207/s15326985ep4102.</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23. </w:t>
      </w:r>
      <w:r w:rsidRPr="008B76DC">
        <w:rPr>
          <w:rFonts w:ascii="Arial" w:hAnsi="Arial" w:cs="Arial"/>
          <w:noProof/>
          <w:sz w:val="24"/>
          <w:szCs w:val="24"/>
        </w:rPr>
        <w:tab/>
        <w:t xml:space="preserve">KNOWLES, M.S., HOLTON, E.F.; SWANSON R. </w:t>
      </w:r>
      <w:r w:rsidRPr="008B76DC">
        <w:rPr>
          <w:rFonts w:ascii="Arial" w:hAnsi="Arial" w:cs="Arial"/>
          <w:i/>
          <w:iCs/>
          <w:noProof/>
          <w:sz w:val="24"/>
          <w:szCs w:val="24"/>
        </w:rPr>
        <w:t>. Aprendizagem de Resultados: Uma Abordagem Prática Para Aumentar a Efetividade Da Educação Corporativa. Tradução: Sabine Alexandra Holler</w:t>
      </w:r>
      <w:r w:rsidRPr="008B76DC">
        <w:rPr>
          <w:rFonts w:ascii="Arial" w:hAnsi="Arial" w:cs="Arial"/>
          <w:noProof/>
          <w:sz w:val="24"/>
          <w:szCs w:val="24"/>
        </w:rPr>
        <w:t>. Rio de Janeiro: Elsevier Ltd; 2011.</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24. </w:t>
      </w:r>
      <w:r w:rsidRPr="008B76DC">
        <w:rPr>
          <w:rFonts w:ascii="Arial" w:hAnsi="Arial" w:cs="Arial"/>
          <w:noProof/>
          <w:sz w:val="24"/>
          <w:szCs w:val="24"/>
        </w:rPr>
        <w:tab/>
        <w:t xml:space="preserve">Poirier TI, Santanello C. Impact of a pharmacy education concentration on students’ teaching knowledge and attitudes. </w:t>
      </w:r>
      <w:r w:rsidRPr="008B76DC">
        <w:rPr>
          <w:rFonts w:ascii="Arial" w:hAnsi="Arial" w:cs="Arial"/>
          <w:i/>
          <w:iCs/>
          <w:noProof/>
          <w:sz w:val="24"/>
          <w:szCs w:val="24"/>
        </w:rPr>
        <w:t>Am J Pharm Educ</w:t>
      </w:r>
      <w:r w:rsidRPr="008B76DC">
        <w:rPr>
          <w:rFonts w:ascii="Arial" w:hAnsi="Arial" w:cs="Arial"/>
          <w:noProof/>
          <w:sz w:val="24"/>
          <w:szCs w:val="24"/>
        </w:rPr>
        <w:t>. 2010;74(2).</w:t>
      </w:r>
      <w:r w:rsidR="00D46F1B">
        <w:rPr>
          <w:rFonts w:ascii="Arial" w:hAnsi="Arial" w:cs="Arial"/>
          <w:noProof/>
          <w:sz w:val="24"/>
          <w:szCs w:val="24"/>
        </w:rPr>
        <w:t xml:space="preserve">Article 23. </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25. </w:t>
      </w:r>
      <w:r w:rsidRPr="008B76DC">
        <w:rPr>
          <w:rFonts w:ascii="Arial" w:hAnsi="Arial" w:cs="Arial"/>
          <w:noProof/>
          <w:sz w:val="24"/>
          <w:szCs w:val="24"/>
        </w:rPr>
        <w:tab/>
        <w:t xml:space="preserve">DiPiro JT. Student learning: Perception versus reality. </w:t>
      </w:r>
      <w:r w:rsidRPr="008B76DC">
        <w:rPr>
          <w:rFonts w:ascii="Arial" w:hAnsi="Arial" w:cs="Arial"/>
          <w:i/>
          <w:iCs/>
          <w:noProof/>
          <w:sz w:val="24"/>
          <w:szCs w:val="24"/>
        </w:rPr>
        <w:t>Am J Pharm Educ</w:t>
      </w:r>
      <w:r w:rsidRPr="008B76DC">
        <w:rPr>
          <w:rFonts w:ascii="Arial" w:hAnsi="Arial" w:cs="Arial"/>
          <w:noProof/>
          <w:sz w:val="24"/>
          <w:szCs w:val="24"/>
        </w:rPr>
        <w:t>. 2010;74(4):2010.</w:t>
      </w:r>
      <w:r w:rsidR="00E37623">
        <w:rPr>
          <w:rFonts w:ascii="Arial" w:hAnsi="Arial" w:cs="Arial"/>
          <w:noProof/>
          <w:sz w:val="24"/>
          <w:szCs w:val="24"/>
        </w:rPr>
        <w:t>Article 63.</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26. </w:t>
      </w:r>
      <w:r w:rsidRPr="008B76DC">
        <w:rPr>
          <w:rFonts w:ascii="Arial" w:hAnsi="Arial" w:cs="Arial"/>
          <w:noProof/>
          <w:sz w:val="24"/>
          <w:szCs w:val="24"/>
        </w:rPr>
        <w:tab/>
        <w:t xml:space="preserve">Fernandes AK, Borges N, Rodabaugh H. Measuring cognitive outcomes in a pre-clinical bioethics course. </w:t>
      </w:r>
      <w:r w:rsidRPr="008B76DC">
        <w:rPr>
          <w:rFonts w:ascii="Arial" w:hAnsi="Arial" w:cs="Arial"/>
          <w:i/>
          <w:iCs/>
          <w:noProof/>
          <w:sz w:val="24"/>
          <w:szCs w:val="24"/>
        </w:rPr>
        <w:t>Perspect Med Educ</w:t>
      </w:r>
      <w:r w:rsidRPr="008B76DC">
        <w:rPr>
          <w:rFonts w:ascii="Arial" w:hAnsi="Arial" w:cs="Arial"/>
          <w:noProof/>
          <w:sz w:val="24"/>
          <w:szCs w:val="24"/>
        </w:rPr>
        <w:t>. 2012;1(2):92-97. doi:10.1007/s40037-012-0014-3.</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27. </w:t>
      </w:r>
      <w:r w:rsidRPr="008B76DC">
        <w:rPr>
          <w:rFonts w:ascii="Arial" w:hAnsi="Arial" w:cs="Arial"/>
          <w:noProof/>
          <w:sz w:val="24"/>
          <w:szCs w:val="24"/>
        </w:rPr>
        <w:tab/>
        <w:t>Crowe A, Dirks C, Wenderoth MP. Biology in Bloom : Implementing Bloom ’ s Taxonomy to Enhance Student Learning in Biology. 2008;7:368-381. doi:10.1187/cbe.08.</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28. </w:t>
      </w:r>
      <w:r w:rsidRPr="008B76DC">
        <w:rPr>
          <w:rFonts w:ascii="Arial" w:hAnsi="Arial" w:cs="Arial"/>
          <w:noProof/>
          <w:sz w:val="24"/>
          <w:szCs w:val="24"/>
        </w:rPr>
        <w:tab/>
        <w:t xml:space="preserve">SEDDON G. The properties of Bloom’s taxonomy of educational objectives for </w:t>
      </w:r>
      <w:r w:rsidRPr="008B76DC">
        <w:rPr>
          <w:rFonts w:ascii="Arial" w:hAnsi="Arial" w:cs="Arial"/>
          <w:noProof/>
          <w:sz w:val="24"/>
          <w:szCs w:val="24"/>
        </w:rPr>
        <w:lastRenderedPageBreak/>
        <w:t xml:space="preserve">the cognitive domain. </w:t>
      </w:r>
      <w:r w:rsidRPr="008B76DC">
        <w:rPr>
          <w:rFonts w:ascii="Arial" w:hAnsi="Arial" w:cs="Arial"/>
          <w:i/>
          <w:iCs/>
          <w:noProof/>
          <w:sz w:val="24"/>
          <w:szCs w:val="24"/>
        </w:rPr>
        <w:t>Rev Educ Res</w:t>
      </w:r>
      <w:r w:rsidRPr="008B76DC">
        <w:rPr>
          <w:rFonts w:ascii="Arial" w:hAnsi="Arial" w:cs="Arial"/>
          <w:noProof/>
          <w:sz w:val="24"/>
          <w:szCs w:val="24"/>
        </w:rPr>
        <w:t>. 1978;48(2):303.</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29. </w:t>
      </w:r>
      <w:r w:rsidRPr="008B76DC">
        <w:rPr>
          <w:rFonts w:ascii="Arial" w:hAnsi="Arial" w:cs="Arial"/>
          <w:noProof/>
          <w:sz w:val="24"/>
          <w:szCs w:val="24"/>
        </w:rPr>
        <w:tab/>
        <w:t xml:space="preserve">van Hoeij MJW, Haarhuis JCM, Wierstra RF a, van Beukelen P. Developing a classification tool based on Bloom’s taxonomy to assess the cognitive level of short essay questions. </w:t>
      </w:r>
      <w:r w:rsidRPr="008B76DC">
        <w:rPr>
          <w:rFonts w:ascii="Arial" w:hAnsi="Arial" w:cs="Arial"/>
          <w:i/>
          <w:iCs/>
          <w:noProof/>
          <w:sz w:val="24"/>
          <w:szCs w:val="24"/>
        </w:rPr>
        <w:t>J Vet Med Educ</w:t>
      </w:r>
      <w:r w:rsidRPr="008B76DC">
        <w:rPr>
          <w:rFonts w:ascii="Arial" w:hAnsi="Arial" w:cs="Arial"/>
          <w:noProof/>
          <w:sz w:val="24"/>
          <w:szCs w:val="24"/>
        </w:rPr>
        <w:t>. 2004;31(3):261-267. doi:10.3138/jvme.31.3.261.</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30. </w:t>
      </w:r>
      <w:r w:rsidRPr="008B76DC">
        <w:rPr>
          <w:rFonts w:ascii="Arial" w:hAnsi="Arial" w:cs="Arial"/>
          <w:noProof/>
          <w:sz w:val="24"/>
          <w:szCs w:val="24"/>
        </w:rPr>
        <w:tab/>
        <w:t xml:space="preserve">Tanner K, Allen D. Approaches to Biology Teaching and Learning: Learning Styles and the Problem of Instructional Selection--Engaging All Students in Science Courses. </w:t>
      </w:r>
      <w:r w:rsidRPr="008B76DC">
        <w:rPr>
          <w:rFonts w:ascii="Arial" w:hAnsi="Arial" w:cs="Arial"/>
          <w:i/>
          <w:iCs/>
          <w:noProof/>
          <w:sz w:val="24"/>
          <w:szCs w:val="24"/>
        </w:rPr>
        <w:t>Cell Biol Educ</w:t>
      </w:r>
      <w:r w:rsidRPr="008B76DC">
        <w:rPr>
          <w:rFonts w:ascii="Arial" w:hAnsi="Arial" w:cs="Arial"/>
          <w:noProof/>
          <w:sz w:val="24"/>
          <w:szCs w:val="24"/>
        </w:rPr>
        <w:t>. 2004;3(4):197-201. doi:10.1187/cbe.04-07-0050.</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31. </w:t>
      </w:r>
      <w:r w:rsidRPr="008B76DC">
        <w:rPr>
          <w:rFonts w:ascii="Arial" w:hAnsi="Arial" w:cs="Arial"/>
          <w:noProof/>
          <w:sz w:val="24"/>
          <w:szCs w:val="24"/>
        </w:rPr>
        <w:tab/>
        <w:t>WIGGINS, G.P.; MCTIGHE J. The Understanding by design guide to advanced concepts in creating and reviewing units. United States of America: ASCD. &lt; http://www.ascd.org/ascd/pdf/siteascd/publications/books/dg2-sample-chapters.pdf. Published 2012.</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32. </w:t>
      </w:r>
      <w:r w:rsidRPr="008B76DC">
        <w:rPr>
          <w:rFonts w:ascii="Arial" w:hAnsi="Arial" w:cs="Arial"/>
          <w:noProof/>
          <w:sz w:val="24"/>
          <w:szCs w:val="24"/>
        </w:rPr>
        <w:tab/>
        <w:t xml:space="preserve">HONEY, P.; MUMFORD A. </w:t>
      </w:r>
      <w:r w:rsidRPr="008B76DC">
        <w:rPr>
          <w:rFonts w:ascii="Arial" w:hAnsi="Arial" w:cs="Arial"/>
          <w:i/>
          <w:iCs/>
          <w:noProof/>
          <w:sz w:val="24"/>
          <w:szCs w:val="24"/>
        </w:rPr>
        <w:t>Using Our Learning Styles.</w:t>
      </w:r>
      <w:r w:rsidRPr="008B76DC">
        <w:rPr>
          <w:rFonts w:ascii="Arial" w:hAnsi="Arial" w:cs="Arial"/>
          <w:noProof/>
          <w:sz w:val="24"/>
          <w:szCs w:val="24"/>
        </w:rPr>
        <w:t xml:space="preserve"> Berkshire, U.K.: Peter Honey; 1986.</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33. </w:t>
      </w:r>
      <w:r w:rsidRPr="008B76DC">
        <w:rPr>
          <w:rFonts w:ascii="Arial" w:hAnsi="Arial" w:cs="Arial"/>
          <w:noProof/>
          <w:sz w:val="24"/>
          <w:szCs w:val="24"/>
        </w:rPr>
        <w:tab/>
        <w:t xml:space="preserve">Gallagher CT. Building on Bloom: A paradigm for teaching pharmacy law and ethics from the UK. </w:t>
      </w:r>
      <w:r w:rsidRPr="008B76DC">
        <w:rPr>
          <w:rFonts w:ascii="Arial" w:hAnsi="Arial" w:cs="Arial"/>
          <w:i/>
          <w:iCs/>
          <w:noProof/>
          <w:sz w:val="24"/>
          <w:szCs w:val="24"/>
        </w:rPr>
        <w:t>Curr Pharm Teach Learn</w:t>
      </w:r>
      <w:r w:rsidRPr="008B76DC">
        <w:rPr>
          <w:rFonts w:ascii="Arial" w:hAnsi="Arial" w:cs="Arial"/>
          <w:noProof/>
          <w:sz w:val="24"/>
          <w:szCs w:val="24"/>
        </w:rPr>
        <w:t>. 2011;3(1):71-76. doi:10.1016/j.cptl.2010.10.002.</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34. </w:t>
      </w:r>
      <w:r w:rsidRPr="008B76DC">
        <w:rPr>
          <w:rFonts w:ascii="Arial" w:hAnsi="Arial" w:cs="Arial"/>
          <w:noProof/>
          <w:sz w:val="24"/>
          <w:szCs w:val="24"/>
        </w:rPr>
        <w:tab/>
        <w:t>Taxonomy B. Evaluation of Modified Essay Questions (MEQ) and Multiple Choice Questions (MCQ) as a tool for Assessing the Cognitive Skills of Undergraduate Medical Students Moeen-uz-Zafar-Khan and Badr Muhammad Aljarallah. 2011;5(1):39-43.</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35. </w:t>
      </w:r>
      <w:r w:rsidRPr="008B76DC">
        <w:rPr>
          <w:rFonts w:ascii="Arial" w:hAnsi="Arial" w:cs="Arial"/>
          <w:noProof/>
          <w:sz w:val="24"/>
          <w:szCs w:val="24"/>
        </w:rPr>
        <w:tab/>
        <w:t xml:space="preserve">Hift RJ. Should essays and other “open-ended”-type questions retain a place in written summative assessment in clinical medicine? </w:t>
      </w:r>
      <w:r w:rsidRPr="008B76DC">
        <w:rPr>
          <w:rFonts w:ascii="Arial" w:hAnsi="Arial" w:cs="Arial"/>
          <w:i/>
          <w:iCs/>
          <w:noProof/>
          <w:sz w:val="24"/>
          <w:szCs w:val="24"/>
        </w:rPr>
        <w:t>BMC Med Educ</w:t>
      </w:r>
      <w:r w:rsidRPr="008B76DC">
        <w:rPr>
          <w:rFonts w:ascii="Arial" w:hAnsi="Arial" w:cs="Arial"/>
          <w:noProof/>
          <w:sz w:val="24"/>
          <w:szCs w:val="24"/>
        </w:rPr>
        <w:t>. 2014;14(1):249. doi:10.1186/s12909-014-0249-2.</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lastRenderedPageBreak/>
        <w:t xml:space="preserve">36. </w:t>
      </w:r>
      <w:r w:rsidRPr="008B76DC">
        <w:rPr>
          <w:rFonts w:ascii="Arial" w:hAnsi="Arial" w:cs="Arial"/>
          <w:noProof/>
          <w:sz w:val="24"/>
          <w:szCs w:val="24"/>
        </w:rPr>
        <w:tab/>
        <w:t xml:space="preserve">ABDEL-HAMEED, A.A., AL-FARIS, E.A.; ALORAINY IA. The criteria and analysis of good multiple choice questions in a health professional setting. </w:t>
      </w:r>
      <w:r w:rsidRPr="008B76DC">
        <w:rPr>
          <w:rFonts w:ascii="Arial" w:hAnsi="Arial" w:cs="Arial"/>
          <w:i/>
          <w:iCs/>
          <w:noProof/>
          <w:sz w:val="24"/>
          <w:szCs w:val="24"/>
        </w:rPr>
        <w:t>Saudi Med J</w:t>
      </w:r>
      <w:r w:rsidRPr="008B76DC">
        <w:rPr>
          <w:rFonts w:ascii="Arial" w:hAnsi="Arial" w:cs="Arial"/>
          <w:noProof/>
          <w:sz w:val="24"/>
          <w:szCs w:val="24"/>
        </w:rPr>
        <w:t>. 2005;26(10):505-510.</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37. </w:t>
      </w:r>
      <w:r w:rsidRPr="008B76DC">
        <w:rPr>
          <w:rFonts w:ascii="Arial" w:hAnsi="Arial" w:cs="Arial"/>
          <w:noProof/>
          <w:sz w:val="24"/>
          <w:szCs w:val="24"/>
        </w:rPr>
        <w:tab/>
        <w:t>Kim M, Patel RA, Uchizono JA, Beck L. TEACHERS ’ TOPICS Incorporation of Bloom ’ s Taxonomy into Multiple-Choice Examination Questions for a Pharmacotherapeutics Course. 2012;76(6).</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38. </w:t>
      </w:r>
      <w:r w:rsidRPr="008B76DC">
        <w:rPr>
          <w:rFonts w:ascii="Arial" w:hAnsi="Arial" w:cs="Arial"/>
          <w:noProof/>
          <w:sz w:val="24"/>
          <w:szCs w:val="24"/>
        </w:rPr>
        <w:tab/>
        <w:t xml:space="preserve">BUCKWALTER, J.A.  et al. Use of an educational taxonomy for evaluation of cognitive performance. </w:t>
      </w:r>
      <w:r w:rsidRPr="008B76DC">
        <w:rPr>
          <w:rFonts w:ascii="Arial" w:hAnsi="Arial" w:cs="Arial"/>
          <w:i/>
          <w:iCs/>
          <w:noProof/>
          <w:sz w:val="24"/>
          <w:szCs w:val="24"/>
        </w:rPr>
        <w:t>J Med Educ</w:t>
      </w:r>
      <w:r w:rsidRPr="008B76DC">
        <w:rPr>
          <w:rFonts w:ascii="Arial" w:hAnsi="Arial" w:cs="Arial"/>
          <w:noProof/>
          <w:sz w:val="24"/>
          <w:szCs w:val="24"/>
        </w:rPr>
        <w:t>. 1981;56:115-121.</w:t>
      </w:r>
    </w:p>
    <w:p w:rsidR="005247EF" w:rsidRPr="008B76DC" w:rsidRDefault="005247EF" w:rsidP="00310C02">
      <w:pPr>
        <w:widowControl w:val="0"/>
        <w:autoSpaceDE w:val="0"/>
        <w:autoSpaceDN w:val="0"/>
        <w:adjustRightInd w:val="0"/>
        <w:spacing w:after="0" w:line="480" w:lineRule="auto"/>
        <w:ind w:left="640" w:hanging="640"/>
        <w:rPr>
          <w:rFonts w:ascii="Arial" w:hAnsi="Arial" w:cs="Arial"/>
          <w:noProof/>
          <w:sz w:val="24"/>
          <w:szCs w:val="24"/>
        </w:rPr>
      </w:pPr>
      <w:r w:rsidRPr="008B76DC">
        <w:rPr>
          <w:rFonts w:ascii="Arial" w:hAnsi="Arial" w:cs="Arial"/>
          <w:noProof/>
          <w:sz w:val="24"/>
          <w:szCs w:val="24"/>
        </w:rPr>
        <w:t xml:space="preserve">39. </w:t>
      </w:r>
      <w:r w:rsidRPr="008B76DC">
        <w:rPr>
          <w:rFonts w:ascii="Arial" w:hAnsi="Arial" w:cs="Arial"/>
          <w:noProof/>
          <w:sz w:val="24"/>
          <w:szCs w:val="24"/>
        </w:rPr>
        <w:tab/>
        <w:t xml:space="preserve">Palmer EJ, Devitt PG. Assessment of higher order cognitive skills in undergraduate education: modified essay or multiple choice questions? Research paper. </w:t>
      </w:r>
      <w:r w:rsidRPr="008B76DC">
        <w:rPr>
          <w:rFonts w:ascii="Arial" w:hAnsi="Arial" w:cs="Arial"/>
          <w:i/>
          <w:iCs/>
          <w:noProof/>
          <w:sz w:val="24"/>
          <w:szCs w:val="24"/>
        </w:rPr>
        <w:t>BMC Med Educ</w:t>
      </w:r>
      <w:r w:rsidRPr="008B76DC">
        <w:rPr>
          <w:rFonts w:ascii="Arial" w:hAnsi="Arial" w:cs="Arial"/>
          <w:noProof/>
          <w:sz w:val="24"/>
          <w:szCs w:val="24"/>
        </w:rPr>
        <w:t>. 2007;7(1):49. doi:10.1186/1472-6920-7-49.</w:t>
      </w:r>
    </w:p>
    <w:p w:rsidR="005247EF" w:rsidRPr="00A217CE" w:rsidRDefault="005247EF" w:rsidP="00310C02">
      <w:pPr>
        <w:widowControl w:val="0"/>
        <w:autoSpaceDE w:val="0"/>
        <w:autoSpaceDN w:val="0"/>
        <w:adjustRightInd w:val="0"/>
        <w:spacing w:after="0" w:line="480" w:lineRule="auto"/>
        <w:ind w:left="640" w:hanging="640"/>
        <w:rPr>
          <w:rFonts w:ascii="Arial" w:hAnsi="Arial" w:cs="Arial"/>
          <w:noProof/>
          <w:sz w:val="24"/>
          <w:szCs w:val="24"/>
        </w:rPr>
      </w:pPr>
    </w:p>
    <w:p w:rsidR="00053916" w:rsidRPr="00A217CE" w:rsidRDefault="00771EBF" w:rsidP="00310C02">
      <w:pPr>
        <w:spacing w:after="0" w:line="480" w:lineRule="auto"/>
        <w:rPr>
          <w:rFonts w:ascii="Arial" w:hAnsi="Arial" w:cs="Arial"/>
          <w:sz w:val="24"/>
          <w:szCs w:val="24"/>
          <w:lang w:val="en-US"/>
        </w:rPr>
      </w:pPr>
      <w:r w:rsidRPr="008B76DC">
        <w:rPr>
          <w:rFonts w:ascii="Arial" w:hAnsi="Arial" w:cs="Arial"/>
          <w:sz w:val="24"/>
          <w:szCs w:val="24"/>
          <w:lang w:val="en-US"/>
        </w:rPr>
        <w:fldChar w:fldCharType="end"/>
      </w:r>
    </w:p>
    <w:sectPr w:rsidR="00053916" w:rsidRPr="00A217CE" w:rsidSect="007C7083">
      <w:pgSz w:w="11906" w:h="16838" w:code="9"/>
      <w:pgMar w:top="1701" w:right="1134" w:bottom="1134" w:left="1701" w:header="709" w:footer="709"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E22"/>
    <w:multiLevelType w:val="hybridMultilevel"/>
    <w:tmpl w:val="0D049590"/>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431AAE"/>
    <w:multiLevelType w:val="hybridMultilevel"/>
    <w:tmpl w:val="B9580528"/>
    <w:lvl w:ilvl="0" w:tplc="30EC2EE0">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
    <w:nsid w:val="193F39B8"/>
    <w:multiLevelType w:val="multilevel"/>
    <w:tmpl w:val="299C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FF5A94"/>
    <w:multiLevelType w:val="hybridMultilevel"/>
    <w:tmpl w:val="3F9A89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780131E"/>
    <w:multiLevelType w:val="hybridMultilevel"/>
    <w:tmpl w:val="2110C8BC"/>
    <w:lvl w:ilvl="0" w:tplc="6D7EF914">
      <w:start w:val="1"/>
      <w:numFmt w:val="bullet"/>
      <w:lvlText w:val=""/>
      <w:lvlJc w:val="left"/>
      <w:pPr>
        <w:tabs>
          <w:tab w:val="num" w:pos="720"/>
        </w:tabs>
        <w:ind w:left="720" w:hanging="360"/>
      </w:pPr>
      <w:rPr>
        <w:rFonts w:ascii="Wingdings" w:hAnsi="Wingdings" w:hint="default"/>
      </w:rPr>
    </w:lvl>
    <w:lvl w:ilvl="1" w:tplc="41083BB2" w:tentative="1">
      <w:start w:val="1"/>
      <w:numFmt w:val="bullet"/>
      <w:lvlText w:val=""/>
      <w:lvlJc w:val="left"/>
      <w:pPr>
        <w:tabs>
          <w:tab w:val="num" w:pos="1440"/>
        </w:tabs>
        <w:ind w:left="1440" w:hanging="360"/>
      </w:pPr>
      <w:rPr>
        <w:rFonts w:ascii="Wingdings" w:hAnsi="Wingdings" w:hint="default"/>
      </w:rPr>
    </w:lvl>
    <w:lvl w:ilvl="2" w:tplc="91E0B80C" w:tentative="1">
      <w:start w:val="1"/>
      <w:numFmt w:val="bullet"/>
      <w:lvlText w:val=""/>
      <w:lvlJc w:val="left"/>
      <w:pPr>
        <w:tabs>
          <w:tab w:val="num" w:pos="2160"/>
        </w:tabs>
        <w:ind w:left="2160" w:hanging="360"/>
      </w:pPr>
      <w:rPr>
        <w:rFonts w:ascii="Wingdings" w:hAnsi="Wingdings" w:hint="default"/>
      </w:rPr>
    </w:lvl>
    <w:lvl w:ilvl="3" w:tplc="235CD090" w:tentative="1">
      <w:start w:val="1"/>
      <w:numFmt w:val="bullet"/>
      <w:lvlText w:val=""/>
      <w:lvlJc w:val="left"/>
      <w:pPr>
        <w:tabs>
          <w:tab w:val="num" w:pos="2880"/>
        </w:tabs>
        <w:ind w:left="2880" w:hanging="360"/>
      </w:pPr>
      <w:rPr>
        <w:rFonts w:ascii="Wingdings" w:hAnsi="Wingdings" w:hint="default"/>
      </w:rPr>
    </w:lvl>
    <w:lvl w:ilvl="4" w:tplc="9EAA8F74" w:tentative="1">
      <w:start w:val="1"/>
      <w:numFmt w:val="bullet"/>
      <w:lvlText w:val=""/>
      <w:lvlJc w:val="left"/>
      <w:pPr>
        <w:tabs>
          <w:tab w:val="num" w:pos="3600"/>
        </w:tabs>
        <w:ind w:left="3600" w:hanging="360"/>
      </w:pPr>
      <w:rPr>
        <w:rFonts w:ascii="Wingdings" w:hAnsi="Wingdings" w:hint="default"/>
      </w:rPr>
    </w:lvl>
    <w:lvl w:ilvl="5" w:tplc="FB0A67AA" w:tentative="1">
      <w:start w:val="1"/>
      <w:numFmt w:val="bullet"/>
      <w:lvlText w:val=""/>
      <w:lvlJc w:val="left"/>
      <w:pPr>
        <w:tabs>
          <w:tab w:val="num" w:pos="4320"/>
        </w:tabs>
        <w:ind w:left="4320" w:hanging="360"/>
      </w:pPr>
      <w:rPr>
        <w:rFonts w:ascii="Wingdings" w:hAnsi="Wingdings" w:hint="default"/>
      </w:rPr>
    </w:lvl>
    <w:lvl w:ilvl="6" w:tplc="7E8C5056" w:tentative="1">
      <w:start w:val="1"/>
      <w:numFmt w:val="bullet"/>
      <w:lvlText w:val=""/>
      <w:lvlJc w:val="left"/>
      <w:pPr>
        <w:tabs>
          <w:tab w:val="num" w:pos="5040"/>
        </w:tabs>
        <w:ind w:left="5040" w:hanging="360"/>
      </w:pPr>
      <w:rPr>
        <w:rFonts w:ascii="Wingdings" w:hAnsi="Wingdings" w:hint="default"/>
      </w:rPr>
    </w:lvl>
    <w:lvl w:ilvl="7" w:tplc="81B8FB5A" w:tentative="1">
      <w:start w:val="1"/>
      <w:numFmt w:val="bullet"/>
      <w:lvlText w:val=""/>
      <w:lvlJc w:val="left"/>
      <w:pPr>
        <w:tabs>
          <w:tab w:val="num" w:pos="5760"/>
        </w:tabs>
        <w:ind w:left="5760" w:hanging="360"/>
      </w:pPr>
      <w:rPr>
        <w:rFonts w:ascii="Wingdings" w:hAnsi="Wingdings" w:hint="default"/>
      </w:rPr>
    </w:lvl>
    <w:lvl w:ilvl="8" w:tplc="405A1B74" w:tentative="1">
      <w:start w:val="1"/>
      <w:numFmt w:val="bullet"/>
      <w:lvlText w:val=""/>
      <w:lvlJc w:val="left"/>
      <w:pPr>
        <w:tabs>
          <w:tab w:val="num" w:pos="6480"/>
        </w:tabs>
        <w:ind w:left="6480" w:hanging="360"/>
      </w:pPr>
      <w:rPr>
        <w:rFonts w:ascii="Wingdings" w:hAnsi="Wingdings" w:hint="default"/>
      </w:rPr>
    </w:lvl>
  </w:abstractNum>
  <w:abstractNum w:abstractNumId="5">
    <w:nsid w:val="2DD34420"/>
    <w:multiLevelType w:val="hybridMultilevel"/>
    <w:tmpl w:val="95FA25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08F0259"/>
    <w:multiLevelType w:val="hybridMultilevel"/>
    <w:tmpl w:val="3EA46C66"/>
    <w:lvl w:ilvl="0" w:tplc="0D26B676">
      <w:start w:val="6"/>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524B5E31"/>
    <w:multiLevelType w:val="hybridMultilevel"/>
    <w:tmpl w:val="A00441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3E5339D"/>
    <w:multiLevelType w:val="hybridMultilevel"/>
    <w:tmpl w:val="E6C6CCC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7CB3240B"/>
    <w:multiLevelType w:val="hybridMultilevel"/>
    <w:tmpl w:val="82A212C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9"/>
  </w:num>
  <w:num w:numId="6">
    <w:abstractNumId w:val="4"/>
  </w:num>
  <w:num w:numId="7">
    <w:abstractNumId w:val="3"/>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929A7"/>
    <w:rsid w:val="00000B9C"/>
    <w:rsid w:val="00003669"/>
    <w:rsid w:val="0000386F"/>
    <w:rsid w:val="00004AB4"/>
    <w:rsid w:val="00005E04"/>
    <w:rsid w:val="00005FC1"/>
    <w:rsid w:val="000061FE"/>
    <w:rsid w:val="00007677"/>
    <w:rsid w:val="00007C41"/>
    <w:rsid w:val="00011875"/>
    <w:rsid w:val="00012136"/>
    <w:rsid w:val="00012C78"/>
    <w:rsid w:val="00013E2D"/>
    <w:rsid w:val="00014AE5"/>
    <w:rsid w:val="00014FB0"/>
    <w:rsid w:val="000151D4"/>
    <w:rsid w:val="000159DA"/>
    <w:rsid w:val="00017692"/>
    <w:rsid w:val="00020228"/>
    <w:rsid w:val="0002032D"/>
    <w:rsid w:val="00023EEB"/>
    <w:rsid w:val="00024619"/>
    <w:rsid w:val="00024EE3"/>
    <w:rsid w:val="00025A12"/>
    <w:rsid w:val="00027340"/>
    <w:rsid w:val="00031F7F"/>
    <w:rsid w:val="00032CA2"/>
    <w:rsid w:val="00033FE6"/>
    <w:rsid w:val="000342FE"/>
    <w:rsid w:val="00035337"/>
    <w:rsid w:val="0003562E"/>
    <w:rsid w:val="00035CBA"/>
    <w:rsid w:val="00036AD5"/>
    <w:rsid w:val="00040066"/>
    <w:rsid w:val="00042E28"/>
    <w:rsid w:val="000438E2"/>
    <w:rsid w:val="00044417"/>
    <w:rsid w:val="00045189"/>
    <w:rsid w:val="00046081"/>
    <w:rsid w:val="00046511"/>
    <w:rsid w:val="000532D5"/>
    <w:rsid w:val="00053916"/>
    <w:rsid w:val="000542FC"/>
    <w:rsid w:val="00054AAE"/>
    <w:rsid w:val="00054BD7"/>
    <w:rsid w:val="00056022"/>
    <w:rsid w:val="000560F8"/>
    <w:rsid w:val="00060A52"/>
    <w:rsid w:val="00061E4D"/>
    <w:rsid w:val="00063211"/>
    <w:rsid w:val="000644AB"/>
    <w:rsid w:val="00065C68"/>
    <w:rsid w:val="000677F2"/>
    <w:rsid w:val="000679EB"/>
    <w:rsid w:val="00067F2E"/>
    <w:rsid w:val="00070DA4"/>
    <w:rsid w:val="00070E6A"/>
    <w:rsid w:val="00070EB1"/>
    <w:rsid w:val="00072A7F"/>
    <w:rsid w:val="00075C57"/>
    <w:rsid w:val="00076703"/>
    <w:rsid w:val="000774B5"/>
    <w:rsid w:val="00080649"/>
    <w:rsid w:val="00081495"/>
    <w:rsid w:val="00081CF1"/>
    <w:rsid w:val="000834B7"/>
    <w:rsid w:val="00084E0E"/>
    <w:rsid w:val="000854CC"/>
    <w:rsid w:val="00085C5D"/>
    <w:rsid w:val="00085F06"/>
    <w:rsid w:val="000911BE"/>
    <w:rsid w:val="00091D2E"/>
    <w:rsid w:val="000940A5"/>
    <w:rsid w:val="00094932"/>
    <w:rsid w:val="000A1601"/>
    <w:rsid w:val="000A17BC"/>
    <w:rsid w:val="000A586E"/>
    <w:rsid w:val="000A72DD"/>
    <w:rsid w:val="000B09F1"/>
    <w:rsid w:val="000B3066"/>
    <w:rsid w:val="000B31E9"/>
    <w:rsid w:val="000B3B7E"/>
    <w:rsid w:val="000B3BAB"/>
    <w:rsid w:val="000B4854"/>
    <w:rsid w:val="000B5AAB"/>
    <w:rsid w:val="000B61A1"/>
    <w:rsid w:val="000B7212"/>
    <w:rsid w:val="000C0D81"/>
    <w:rsid w:val="000C18E1"/>
    <w:rsid w:val="000C1994"/>
    <w:rsid w:val="000C2764"/>
    <w:rsid w:val="000C3888"/>
    <w:rsid w:val="000C3A5F"/>
    <w:rsid w:val="000C5868"/>
    <w:rsid w:val="000C5C25"/>
    <w:rsid w:val="000C692F"/>
    <w:rsid w:val="000C6C82"/>
    <w:rsid w:val="000D10D1"/>
    <w:rsid w:val="000D1D94"/>
    <w:rsid w:val="000D21CC"/>
    <w:rsid w:val="000D5F14"/>
    <w:rsid w:val="000D6BD4"/>
    <w:rsid w:val="000D7533"/>
    <w:rsid w:val="000D7709"/>
    <w:rsid w:val="000E0AA1"/>
    <w:rsid w:val="000E29FB"/>
    <w:rsid w:val="000E2A84"/>
    <w:rsid w:val="000E2AA4"/>
    <w:rsid w:val="000E2C42"/>
    <w:rsid w:val="000E2D79"/>
    <w:rsid w:val="000E345C"/>
    <w:rsid w:val="000E3590"/>
    <w:rsid w:val="000E3DB2"/>
    <w:rsid w:val="000E6FB1"/>
    <w:rsid w:val="000E7907"/>
    <w:rsid w:val="000F0976"/>
    <w:rsid w:val="000F249C"/>
    <w:rsid w:val="000F36CA"/>
    <w:rsid w:val="000F4738"/>
    <w:rsid w:val="000F474B"/>
    <w:rsid w:val="000F56EF"/>
    <w:rsid w:val="000F5DCB"/>
    <w:rsid w:val="000F7585"/>
    <w:rsid w:val="000F7AB5"/>
    <w:rsid w:val="00102F58"/>
    <w:rsid w:val="00105E0F"/>
    <w:rsid w:val="0010672E"/>
    <w:rsid w:val="00110961"/>
    <w:rsid w:val="00111E2B"/>
    <w:rsid w:val="0011219E"/>
    <w:rsid w:val="0011428B"/>
    <w:rsid w:val="00114BB5"/>
    <w:rsid w:val="00115BEF"/>
    <w:rsid w:val="00115F29"/>
    <w:rsid w:val="00116B7E"/>
    <w:rsid w:val="0011761B"/>
    <w:rsid w:val="00121E85"/>
    <w:rsid w:val="00122239"/>
    <w:rsid w:val="0012226B"/>
    <w:rsid w:val="00123490"/>
    <w:rsid w:val="00124FD0"/>
    <w:rsid w:val="0012624F"/>
    <w:rsid w:val="0012698B"/>
    <w:rsid w:val="0013048F"/>
    <w:rsid w:val="0013116C"/>
    <w:rsid w:val="0013421E"/>
    <w:rsid w:val="001346B8"/>
    <w:rsid w:val="00141509"/>
    <w:rsid w:val="001415B9"/>
    <w:rsid w:val="00141B56"/>
    <w:rsid w:val="00141C9B"/>
    <w:rsid w:val="0014226C"/>
    <w:rsid w:val="001432E3"/>
    <w:rsid w:val="00145700"/>
    <w:rsid w:val="0014586E"/>
    <w:rsid w:val="001459F3"/>
    <w:rsid w:val="00145C09"/>
    <w:rsid w:val="00147869"/>
    <w:rsid w:val="00147FB5"/>
    <w:rsid w:val="00150179"/>
    <w:rsid w:val="001527D1"/>
    <w:rsid w:val="00154CCE"/>
    <w:rsid w:val="00154F67"/>
    <w:rsid w:val="00155D35"/>
    <w:rsid w:val="00156685"/>
    <w:rsid w:val="00156A00"/>
    <w:rsid w:val="00160DC7"/>
    <w:rsid w:val="0016281B"/>
    <w:rsid w:val="00162ACE"/>
    <w:rsid w:val="00162CB5"/>
    <w:rsid w:val="0016533C"/>
    <w:rsid w:val="00166BF2"/>
    <w:rsid w:val="00167BF2"/>
    <w:rsid w:val="00170A78"/>
    <w:rsid w:val="00170D3D"/>
    <w:rsid w:val="00171CFE"/>
    <w:rsid w:val="00172734"/>
    <w:rsid w:val="00172B92"/>
    <w:rsid w:val="00172BFB"/>
    <w:rsid w:val="0017340E"/>
    <w:rsid w:val="001736D0"/>
    <w:rsid w:val="00173B45"/>
    <w:rsid w:val="00174065"/>
    <w:rsid w:val="00174343"/>
    <w:rsid w:val="00175239"/>
    <w:rsid w:val="001770C6"/>
    <w:rsid w:val="00177333"/>
    <w:rsid w:val="00180283"/>
    <w:rsid w:val="00181A5C"/>
    <w:rsid w:val="00182EEF"/>
    <w:rsid w:val="0018784B"/>
    <w:rsid w:val="00187C4E"/>
    <w:rsid w:val="00190754"/>
    <w:rsid w:val="00190D35"/>
    <w:rsid w:val="001919AB"/>
    <w:rsid w:val="001929A7"/>
    <w:rsid w:val="001941FE"/>
    <w:rsid w:val="001952EA"/>
    <w:rsid w:val="001959D4"/>
    <w:rsid w:val="001A002D"/>
    <w:rsid w:val="001A0632"/>
    <w:rsid w:val="001A115F"/>
    <w:rsid w:val="001A150C"/>
    <w:rsid w:val="001A19A9"/>
    <w:rsid w:val="001A4873"/>
    <w:rsid w:val="001A4FBD"/>
    <w:rsid w:val="001A6378"/>
    <w:rsid w:val="001A7855"/>
    <w:rsid w:val="001A78B1"/>
    <w:rsid w:val="001B244B"/>
    <w:rsid w:val="001B264C"/>
    <w:rsid w:val="001B2FCA"/>
    <w:rsid w:val="001B3752"/>
    <w:rsid w:val="001B684C"/>
    <w:rsid w:val="001C0B5D"/>
    <w:rsid w:val="001C0DA8"/>
    <w:rsid w:val="001C1786"/>
    <w:rsid w:val="001C3D3D"/>
    <w:rsid w:val="001C4051"/>
    <w:rsid w:val="001C4164"/>
    <w:rsid w:val="001C46EA"/>
    <w:rsid w:val="001C5C8B"/>
    <w:rsid w:val="001C6C18"/>
    <w:rsid w:val="001D01E9"/>
    <w:rsid w:val="001D2617"/>
    <w:rsid w:val="001D2BEF"/>
    <w:rsid w:val="001D3436"/>
    <w:rsid w:val="001D415C"/>
    <w:rsid w:val="001D542B"/>
    <w:rsid w:val="001D6B02"/>
    <w:rsid w:val="001E07DB"/>
    <w:rsid w:val="001E1B0F"/>
    <w:rsid w:val="001E3BBD"/>
    <w:rsid w:val="001E53EF"/>
    <w:rsid w:val="001E62CD"/>
    <w:rsid w:val="001E6E3F"/>
    <w:rsid w:val="001E7715"/>
    <w:rsid w:val="001F06FA"/>
    <w:rsid w:val="001F0B58"/>
    <w:rsid w:val="001F11DD"/>
    <w:rsid w:val="001F1571"/>
    <w:rsid w:val="001F19E6"/>
    <w:rsid w:val="001F1C66"/>
    <w:rsid w:val="001F3622"/>
    <w:rsid w:val="001F373C"/>
    <w:rsid w:val="001F4C97"/>
    <w:rsid w:val="001F53DB"/>
    <w:rsid w:val="001F5EB8"/>
    <w:rsid w:val="001F6758"/>
    <w:rsid w:val="0020002D"/>
    <w:rsid w:val="0020038F"/>
    <w:rsid w:val="00201050"/>
    <w:rsid w:val="00202323"/>
    <w:rsid w:val="002040C9"/>
    <w:rsid w:val="00204342"/>
    <w:rsid w:val="00205E37"/>
    <w:rsid w:val="00207EB2"/>
    <w:rsid w:val="00211F35"/>
    <w:rsid w:val="00214A0E"/>
    <w:rsid w:val="002150E5"/>
    <w:rsid w:val="00220782"/>
    <w:rsid w:val="00222E83"/>
    <w:rsid w:val="00223AE9"/>
    <w:rsid w:val="00226629"/>
    <w:rsid w:val="0022673D"/>
    <w:rsid w:val="00227814"/>
    <w:rsid w:val="00227CE2"/>
    <w:rsid w:val="00232734"/>
    <w:rsid w:val="002340B7"/>
    <w:rsid w:val="00234984"/>
    <w:rsid w:val="00234D37"/>
    <w:rsid w:val="0023580A"/>
    <w:rsid w:val="00236302"/>
    <w:rsid w:val="002366E4"/>
    <w:rsid w:val="0023756E"/>
    <w:rsid w:val="00240EBE"/>
    <w:rsid w:val="002412AF"/>
    <w:rsid w:val="002419AA"/>
    <w:rsid w:val="002421CA"/>
    <w:rsid w:val="002431BB"/>
    <w:rsid w:val="002433BE"/>
    <w:rsid w:val="00246794"/>
    <w:rsid w:val="00246A30"/>
    <w:rsid w:val="002474F2"/>
    <w:rsid w:val="00247552"/>
    <w:rsid w:val="00247918"/>
    <w:rsid w:val="002529B1"/>
    <w:rsid w:val="00253778"/>
    <w:rsid w:val="002539FF"/>
    <w:rsid w:val="002574D2"/>
    <w:rsid w:val="00262C2D"/>
    <w:rsid w:val="002637D4"/>
    <w:rsid w:val="00265BFE"/>
    <w:rsid w:val="00270FDB"/>
    <w:rsid w:val="00271CB0"/>
    <w:rsid w:val="00273EBD"/>
    <w:rsid w:val="00276241"/>
    <w:rsid w:val="00276999"/>
    <w:rsid w:val="00281255"/>
    <w:rsid w:val="00282F76"/>
    <w:rsid w:val="0028436B"/>
    <w:rsid w:val="00284496"/>
    <w:rsid w:val="00287232"/>
    <w:rsid w:val="00287320"/>
    <w:rsid w:val="00290424"/>
    <w:rsid w:val="00290736"/>
    <w:rsid w:val="002909AA"/>
    <w:rsid w:val="00290DA4"/>
    <w:rsid w:val="00291554"/>
    <w:rsid w:val="00291CA3"/>
    <w:rsid w:val="002972BB"/>
    <w:rsid w:val="002A1451"/>
    <w:rsid w:val="002A2F91"/>
    <w:rsid w:val="002A52B8"/>
    <w:rsid w:val="002A5E47"/>
    <w:rsid w:val="002B004C"/>
    <w:rsid w:val="002B0453"/>
    <w:rsid w:val="002B18D1"/>
    <w:rsid w:val="002B22CA"/>
    <w:rsid w:val="002B2C49"/>
    <w:rsid w:val="002B3A24"/>
    <w:rsid w:val="002B5542"/>
    <w:rsid w:val="002B586B"/>
    <w:rsid w:val="002B60A0"/>
    <w:rsid w:val="002B768F"/>
    <w:rsid w:val="002C0A17"/>
    <w:rsid w:val="002C53F7"/>
    <w:rsid w:val="002C65D3"/>
    <w:rsid w:val="002C6A25"/>
    <w:rsid w:val="002C6EE0"/>
    <w:rsid w:val="002C71D5"/>
    <w:rsid w:val="002D007B"/>
    <w:rsid w:val="002D2758"/>
    <w:rsid w:val="002D3854"/>
    <w:rsid w:val="002D4A4B"/>
    <w:rsid w:val="002E06B0"/>
    <w:rsid w:val="002E1B48"/>
    <w:rsid w:val="002E373C"/>
    <w:rsid w:val="002E3CF5"/>
    <w:rsid w:val="002E3D4F"/>
    <w:rsid w:val="002E4E7A"/>
    <w:rsid w:val="002E517B"/>
    <w:rsid w:val="002F0DFF"/>
    <w:rsid w:val="002F2851"/>
    <w:rsid w:val="002F4916"/>
    <w:rsid w:val="002F519E"/>
    <w:rsid w:val="002F650C"/>
    <w:rsid w:val="0030460C"/>
    <w:rsid w:val="00305FD3"/>
    <w:rsid w:val="0030607D"/>
    <w:rsid w:val="00306939"/>
    <w:rsid w:val="003069B7"/>
    <w:rsid w:val="00310C02"/>
    <w:rsid w:val="0031335B"/>
    <w:rsid w:val="00313368"/>
    <w:rsid w:val="003163FD"/>
    <w:rsid w:val="00320221"/>
    <w:rsid w:val="00320D48"/>
    <w:rsid w:val="00321B5B"/>
    <w:rsid w:val="00325B28"/>
    <w:rsid w:val="00325FE3"/>
    <w:rsid w:val="00327B66"/>
    <w:rsid w:val="00330131"/>
    <w:rsid w:val="003333DD"/>
    <w:rsid w:val="0033576B"/>
    <w:rsid w:val="00335F68"/>
    <w:rsid w:val="0033610A"/>
    <w:rsid w:val="0034143F"/>
    <w:rsid w:val="003430CE"/>
    <w:rsid w:val="0034553A"/>
    <w:rsid w:val="00345912"/>
    <w:rsid w:val="00347902"/>
    <w:rsid w:val="00347CB6"/>
    <w:rsid w:val="00350114"/>
    <w:rsid w:val="00350298"/>
    <w:rsid w:val="00351C2E"/>
    <w:rsid w:val="00351C79"/>
    <w:rsid w:val="003527A3"/>
    <w:rsid w:val="00355218"/>
    <w:rsid w:val="003552A7"/>
    <w:rsid w:val="003552E0"/>
    <w:rsid w:val="00355802"/>
    <w:rsid w:val="00355D2B"/>
    <w:rsid w:val="00355D4E"/>
    <w:rsid w:val="00357B14"/>
    <w:rsid w:val="00357DAA"/>
    <w:rsid w:val="003636B6"/>
    <w:rsid w:val="00363DD6"/>
    <w:rsid w:val="00370286"/>
    <w:rsid w:val="00371485"/>
    <w:rsid w:val="00371B4A"/>
    <w:rsid w:val="00372ED1"/>
    <w:rsid w:val="00374979"/>
    <w:rsid w:val="00376989"/>
    <w:rsid w:val="003770B9"/>
    <w:rsid w:val="00377264"/>
    <w:rsid w:val="0038039C"/>
    <w:rsid w:val="003820A6"/>
    <w:rsid w:val="003822F3"/>
    <w:rsid w:val="003836ED"/>
    <w:rsid w:val="0038455A"/>
    <w:rsid w:val="0038663A"/>
    <w:rsid w:val="00390C19"/>
    <w:rsid w:val="00391CA7"/>
    <w:rsid w:val="003922AE"/>
    <w:rsid w:val="00394054"/>
    <w:rsid w:val="00394440"/>
    <w:rsid w:val="003945EF"/>
    <w:rsid w:val="003948DC"/>
    <w:rsid w:val="00394983"/>
    <w:rsid w:val="003949CA"/>
    <w:rsid w:val="00396746"/>
    <w:rsid w:val="00396A6C"/>
    <w:rsid w:val="003A03DD"/>
    <w:rsid w:val="003A22FB"/>
    <w:rsid w:val="003A2561"/>
    <w:rsid w:val="003A380D"/>
    <w:rsid w:val="003A39C5"/>
    <w:rsid w:val="003A62DB"/>
    <w:rsid w:val="003A6353"/>
    <w:rsid w:val="003A665C"/>
    <w:rsid w:val="003A7685"/>
    <w:rsid w:val="003B0F85"/>
    <w:rsid w:val="003B3F50"/>
    <w:rsid w:val="003B4ABF"/>
    <w:rsid w:val="003B4E7B"/>
    <w:rsid w:val="003B51D9"/>
    <w:rsid w:val="003B5659"/>
    <w:rsid w:val="003B5E7D"/>
    <w:rsid w:val="003B60F5"/>
    <w:rsid w:val="003C0211"/>
    <w:rsid w:val="003C37EE"/>
    <w:rsid w:val="003C3F63"/>
    <w:rsid w:val="003C6495"/>
    <w:rsid w:val="003C6527"/>
    <w:rsid w:val="003C65AB"/>
    <w:rsid w:val="003C6A89"/>
    <w:rsid w:val="003C7039"/>
    <w:rsid w:val="003D432D"/>
    <w:rsid w:val="003D466A"/>
    <w:rsid w:val="003D6B82"/>
    <w:rsid w:val="003D6CE6"/>
    <w:rsid w:val="003E0576"/>
    <w:rsid w:val="003E11CB"/>
    <w:rsid w:val="003E1317"/>
    <w:rsid w:val="003E22D4"/>
    <w:rsid w:val="003E25B3"/>
    <w:rsid w:val="003E3201"/>
    <w:rsid w:val="003E49D8"/>
    <w:rsid w:val="003E4AE3"/>
    <w:rsid w:val="003E6078"/>
    <w:rsid w:val="003E6260"/>
    <w:rsid w:val="003E64B5"/>
    <w:rsid w:val="003E7B9F"/>
    <w:rsid w:val="003F06BD"/>
    <w:rsid w:val="003F0804"/>
    <w:rsid w:val="003F2185"/>
    <w:rsid w:val="003F2726"/>
    <w:rsid w:val="003F29F1"/>
    <w:rsid w:val="003F31B0"/>
    <w:rsid w:val="003F5004"/>
    <w:rsid w:val="003F5588"/>
    <w:rsid w:val="004004A8"/>
    <w:rsid w:val="00403A10"/>
    <w:rsid w:val="00404604"/>
    <w:rsid w:val="00404983"/>
    <w:rsid w:val="004050B0"/>
    <w:rsid w:val="00405756"/>
    <w:rsid w:val="0040576D"/>
    <w:rsid w:val="004061EC"/>
    <w:rsid w:val="00407282"/>
    <w:rsid w:val="0041271A"/>
    <w:rsid w:val="00416073"/>
    <w:rsid w:val="00421992"/>
    <w:rsid w:val="004248C1"/>
    <w:rsid w:val="00425EFB"/>
    <w:rsid w:val="004266A3"/>
    <w:rsid w:val="004308AC"/>
    <w:rsid w:val="004331E2"/>
    <w:rsid w:val="0043468E"/>
    <w:rsid w:val="0043581A"/>
    <w:rsid w:val="00435F2C"/>
    <w:rsid w:val="0043684D"/>
    <w:rsid w:val="004374A7"/>
    <w:rsid w:val="004408C9"/>
    <w:rsid w:val="00441D88"/>
    <w:rsid w:val="0044374C"/>
    <w:rsid w:val="00444689"/>
    <w:rsid w:val="0044472A"/>
    <w:rsid w:val="004455DE"/>
    <w:rsid w:val="0044573A"/>
    <w:rsid w:val="00445FC9"/>
    <w:rsid w:val="004478E1"/>
    <w:rsid w:val="00450315"/>
    <w:rsid w:val="00453618"/>
    <w:rsid w:val="00453B29"/>
    <w:rsid w:val="00456699"/>
    <w:rsid w:val="004577CC"/>
    <w:rsid w:val="00457992"/>
    <w:rsid w:val="00460FE4"/>
    <w:rsid w:val="00461578"/>
    <w:rsid w:val="004617F8"/>
    <w:rsid w:val="00462481"/>
    <w:rsid w:val="00463776"/>
    <w:rsid w:val="00465707"/>
    <w:rsid w:val="004658BB"/>
    <w:rsid w:val="00466EC6"/>
    <w:rsid w:val="00467706"/>
    <w:rsid w:val="00467B8E"/>
    <w:rsid w:val="00467E6C"/>
    <w:rsid w:val="00472CEF"/>
    <w:rsid w:val="00473531"/>
    <w:rsid w:val="00473A54"/>
    <w:rsid w:val="004740D6"/>
    <w:rsid w:val="004743A4"/>
    <w:rsid w:val="0047465D"/>
    <w:rsid w:val="00474857"/>
    <w:rsid w:val="00475A2D"/>
    <w:rsid w:val="00477545"/>
    <w:rsid w:val="0047787C"/>
    <w:rsid w:val="00477BEA"/>
    <w:rsid w:val="0048159A"/>
    <w:rsid w:val="00483EA8"/>
    <w:rsid w:val="00484C7A"/>
    <w:rsid w:val="00485605"/>
    <w:rsid w:val="004866AD"/>
    <w:rsid w:val="00486747"/>
    <w:rsid w:val="0049236E"/>
    <w:rsid w:val="00492944"/>
    <w:rsid w:val="004939CE"/>
    <w:rsid w:val="00493A91"/>
    <w:rsid w:val="00493EC2"/>
    <w:rsid w:val="004941E1"/>
    <w:rsid w:val="00495DEF"/>
    <w:rsid w:val="00496998"/>
    <w:rsid w:val="00497F73"/>
    <w:rsid w:val="004A01E9"/>
    <w:rsid w:val="004A07EC"/>
    <w:rsid w:val="004A172D"/>
    <w:rsid w:val="004A1B8B"/>
    <w:rsid w:val="004A3344"/>
    <w:rsid w:val="004A4221"/>
    <w:rsid w:val="004A43C0"/>
    <w:rsid w:val="004A6923"/>
    <w:rsid w:val="004A69AE"/>
    <w:rsid w:val="004A773D"/>
    <w:rsid w:val="004B3CD0"/>
    <w:rsid w:val="004B4E59"/>
    <w:rsid w:val="004B5FCE"/>
    <w:rsid w:val="004B7A31"/>
    <w:rsid w:val="004C0BAA"/>
    <w:rsid w:val="004C1A1C"/>
    <w:rsid w:val="004D037C"/>
    <w:rsid w:val="004D0ACA"/>
    <w:rsid w:val="004D12ED"/>
    <w:rsid w:val="004D2752"/>
    <w:rsid w:val="004D44A5"/>
    <w:rsid w:val="004D4A66"/>
    <w:rsid w:val="004D5282"/>
    <w:rsid w:val="004D57FB"/>
    <w:rsid w:val="004D7041"/>
    <w:rsid w:val="004D7CFF"/>
    <w:rsid w:val="004E06B5"/>
    <w:rsid w:val="004E0802"/>
    <w:rsid w:val="004E34A2"/>
    <w:rsid w:val="004E5C13"/>
    <w:rsid w:val="004E749D"/>
    <w:rsid w:val="004E7E4A"/>
    <w:rsid w:val="004F0057"/>
    <w:rsid w:val="004F046D"/>
    <w:rsid w:val="004F1D2B"/>
    <w:rsid w:val="004F39D0"/>
    <w:rsid w:val="004F6839"/>
    <w:rsid w:val="004F7C30"/>
    <w:rsid w:val="0050044C"/>
    <w:rsid w:val="00500C58"/>
    <w:rsid w:val="00500E97"/>
    <w:rsid w:val="005012E2"/>
    <w:rsid w:val="005020A3"/>
    <w:rsid w:val="0050318B"/>
    <w:rsid w:val="00504E00"/>
    <w:rsid w:val="00506CED"/>
    <w:rsid w:val="00510256"/>
    <w:rsid w:val="0051098B"/>
    <w:rsid w:val="005121FE"/>
    <w:rsid w:val="00512FB2"/>
    <w:rsid w:val="00515410"/>
    <w:rsid w:val="00517505"/>
    <w:rsid w:val="00517D07"/>
    <w:rsid w:val="00520AEF"/>
    <w:rsid w:val="005218C4"/>
    <w:rsid w:val="00523EED"/>
    <w:rsid w:val="005247EF"/>
    <w:rsid w:val="005264CB"/>
    <w:rsid w:val="00526695"/>
    <w:rsid w:val="0052748D"/>
    <w:rsid w:val="00527D95"/>
    <w:rsid w:val="005309BD"/>
    <w:rsid w:val="0053496A"/>
    <w:rsid w:val="005350EA"/>
    <w:rsid w:val="0053541E"/>
    <w:rsid w:val="005365FF"/>
    <w:rsid w:val="00537A91"/>
    <w:rsid w:val="005429B3"/>
    <w:rsid w:val="00542A2B"/>
    <w:rsid w:val="00542D54"/>
    <w:rsid w:val="005454AD"/>
    <w:rsid w:val="0054693F"/>
    <w:rsid w:val="00546F22"/>
    <w:rsid w:val="005472F6"/>
    <w:rsid w:val="0054737C"/>
    <w:rsid w:val="005528E2"/>
    <w:rsid w:val="0055371F"/>
    <w:rsid w:val="00553DBD"/>
    <w:rsid w:val="00553FA3"/>
    <w:rsid w:val="0055427C"/>
    <w:rsid w:val="005554A5"/>
    <w:rsid w:val="0055583B"/>
    <w:rsid w:val="005601AA"/>
    <w:rsid w:val="00560243"/>
    <w:rsid w:val="0056160C"/>
    <w:rsid w:val="00563BC5"/>
    <w:rsid w:val="00564206"/>
    <w:rsid w:val="005646C7"/>
    <w:rsid w:val="00566B8E"/>
    <w:rsid w:val="005675AC"/>
    <w:rsid w:val="00567628"/>
    <w:rsid w:val="005676EC"/>
    <w:rsid w:val="00567BC8"/>
    <w:rsid w:val="005702BF"/>
    <w:rsid w:val="00570454"/>
    <w:rsid w:val="005724F4"/>
    <w:rsid w:val="0057295A"/>
    <w:rsid w:val="00573940"/>
    <w:rsid w:val="0057409C"/>
    <w:rsid w:val="005765B3"/>
    <w:rsid w:val="00576870"/>
    <w:rsid w:val="005768B4"/>
    <w:rsid w:val="00576A21"/>
    <w:rsid w:val="00576D61"/>
    <w:rsid w:val="00577B5C"/>
    <w:rsid w:val="00581386"/>
    <w:rsid w:val="005838F0"/>
    <w:rsid w:val="00585A0F"/>
    <w:rsid w:val="00585A44"/>
    <w:rsid w:val="00587609"/>
    <w:rsid w:val="00587BAE"/>
    <w:rsid w:val="0059222F"/>
    <w:rsid w:val="005928D8"/>
    <w:rsid w:val="00592C9D"/>
    <w:rsid w:val="0059311C"/>
    <w:rsid w:val="0059359C"/>
    <w:rsid w:val="00593CB9"/>
    <w:rsid w:val="005950F1"/>
    <w:rsid w:val="00595449"/>
    <w:rsid w:val="005960C1"/>
    <w:rsid w:val="00597CCB"/>
    <w:rsid w:val="005A0520"/>
    <w:rsid w:val="005A1F04"/>
    <w:rsid w:val="005A2098"/>
    <w:rsid w:val="005A2225"/>
    <w:rsid w:val="005A280C"/>
    <w:rsid w:val="005A3124"/>
    <w:rsid w:val="005A4133"/>
    <w:rsid w:val="005A5017"/>
    <w:rsid w:val="005A6272"/>
    <w:rsid w:val="005A6CD4"/>
    <w:rsid w:val="005A6DC0"/>
    <w:rsid w:val="005A700F"/>
    <w:rsid w:val="005A76A8"/>
    <w:rsid w:val="005B207F"/>
    <w:rsid w:val="005B24AB"/>
    <w:rsid w:val="005B24F0"/>
    <w:rsid w:val="005B4D49"/>
    <w:rsid w:val="005B5AFF"/>
    <w:rsid w:val="005B5CF6"/>
    <w:rsid w:val="005B620D"/>
    <w:rsid w:val="005B6F65"/>
    <w:rsid w:val="005C009A"/>
    <w:rsid w:val="005C047F"/>
    <w:rsid w:val="005C1D3C"/>
    <w:rsid w:val="005C2F8C"/>
    <w:rsid w:val="005C3590"/>
    <w:rsid w:val="005C4DE3"/>
    <w:rsid w:val="005C5543"/>
    <w:rsid w:val="005C57AB"/>
    <w:rsid w:val="005C58D2"/>
    <w:rsid w:val="005C72E2"/>
    <w:rsid w:val="005C7703"/>
    <w:rsid w:val="005D2C52"/>
    <w:rsid w:val="005D380A"/>
    <w:rsid w:val="005D3A6E"/>
    <w:rsid w:val="005D44EE"/>
    <w:rsid w:val="005D4A41"/>
    <w:rsid w:val="005D654F"/>
    <w:rsid w:val="005D7DF8"/>
    <w:rsid w:val="005E0A64"/>
    <w:rsid w:val="005E1A7B"/>
    <w:rsid w:val="005E3354"/>
    <w:rsid w:val="005E349E"/>
    <w:rsid w:val="005E3B8D"/>
    <w:rsid w:val="005E3F62"/>
    <w:rsid w:val="005E4016"/>
    <w:rsid w:val="005E4229"/>
    <w:rsid w:val="005E4734"/>
    <w:rsid w:val="005E59AF"/>
    <w:rsid w:val="005E5AFD"/>
    <w:rsid w:val="005E5D0E"/>
    <w:rsid w:val="005E757E"/>
    <w:rsid w:val="005F1B63"/>
    <w:rsid w:val="005F2880"/>
    <w:rsid w:val="005F4952"/>
    <w:rsid w:val="005F4EB9"/>
    <w:rsid w:val="005F77A6"/>
    <w:rsid w:val="005F7CBE"/>
    <w:rsid w:val="006023A3"/>
    <w:rsid w:val="00602D38"/>
    <w:rsid w:val="00604D13"/>
    <w:rsid w:val="00605315"/>
    <w:rsid w:val="0060554F"/>
    <w:rsid w:val="0060635C"/>
    <w:rsid w:val="00610F16"/>
    <w:rsid w:val="00611744"/>
    <w:rsid w:val="00613937"/>
    <w:rsid w:val="00614C7F"/>
    <w:rsid w:val="00615A52"/>
    <w:rsid w:val="00616081"/>
    <w:rsid w:val="00616561"/>
    <w:rsid w:val="00616D28"/>
    <w:rsid w:val="00616FBC"/>
    <w:rsid w:val="006179C5"/>
    <w:rsid w:val="00617B05"/>
    <w:rsid w:val="00622755"/>
    <w:rsid w:val="006229EF"/>
    <w:rsid w:val="00623743"/>
    <w:rsid w:val="006237AA"/>
    <w:rsid w:val="00623B32"/>
    <w:rsid w:val="00624FC4"/>
    <w:rsid w:val="006253C6"/>
    <w:rsid w:val="00626077"/>
    <w:rsid w:val="006270BD"/>
    <w:rsid w:val="00627E56"/>
    <w:rsid w:val="0063080F"/>
    <w:rsid w:val="00630C77"/>
    <w:rsid w:val="00630D4E"/>
    <w:rsid w:val="00630F6B"/>
    <w:rsid w:val="00632E58"/>
    <w:rsid w:val="0063312F"/>
    <w:rsid w:val="006345BE"/>
    <w:rsid w:val="00635711"/>
    <w:rsid w:val="00636442"/>
    <w:rsid w:val="00640067"/>
    <w:rsid w:val="006405FC"/>
    <w:rsid w:val="00640BBF"/>
    <w:rsid w:val="00642263"/>
    <w:rsid w:val="00642348"/>
    <w:rsid w:val="0064322E"/>
    <w:rsid w:val="006449D9"/>
    <w:rsid w:val="00645112"/>
    <w:rsid w:val="00646221"/>
    <w:rsid w:val="00654E97"/>
    <w:rsid w:val="00657683"/>
    <w:rsid w:val="0066517C"/>
    <w:rsid w:val="006657F1"/>
    <w:rsid w:val="00666975"/>
    <w:rsid w:val="00666FA2"/>
    <w:rsid w:val="00672000"/>
    <w:rsid w:val="0067217D"/>
    <w:rsid w:val="0067266A"/>
    <w:rsid w:val="00673179"/>
    <w:rsid w:val="00673948"/>
    <w:rsid w:val="0067565C"/>
    <w:rsid w:val="00682B8A"/>
    <w:rsid w:val="006843FF"/>
    <w:rsid w:val="00685F69"/>
    <w:rsid w:val="00690616"/>
    <w:rsid w:val="00693EDB"/>
    <w:rsid w:val="00697018"/>
    <w:rsid w:val="006974EC"/>
    <w:rsid w:val="00697F91"/>
    <w:rsid w:val="006A1D22"/>
    <w:rsid w:val="006A2CD1"/>
    <w:rsid w:val="006A3AFD"/>
    <w:rsid w:val="006A6E33"/>
    <w:rsid w:val="006A7A5D"/>
    <w:rsid w:val="006B0516"/>
    <w:rsid w:val="006B0691"/>
    <w:rsid w:val="006B1E1B"/>
    <w:rsid w:val="006B3F65"/>
    <w:rsid w:val="006B44F6"/>
    <w:rsid w:val="006B6C7C"/>
    <w:rsid w:val="006B741E"/>
    <w:rsid w:val="006C0A12"/>
    <w:rsid w:val="006C1698"/>
    <w:rsid w:val="006C1CD4"/>
    <w:rsid w:val="006D0226"/>
    <w:rsid w:val="006D1BD7"/>
    <w:rsid w:val="006D1E46"/>
    <w:rsid w:val="006D335D"/>
    <w:rsid w:val="006D407C"/>
    <w:rsid w:val="006D4668"/>
    <w:rsid w:val="006D5088"/>
    <w:rsid w:val="006D546E"/>
    <w:rsid w:val="006D7A53"/>
    <w:rsid w:val="006E0797"/>
    <w:rsid w:val="006E0A20"/>
    <w:rsid w:val="006E0DF5"/>
    <w:rsid w:val="006E1ADA"/>
    <w:rsid w:val="006E1E7E"/>
    <w:rsid w:val="006E27EE"/>
    <w:rsid w:val="006E30F1"/>
    <w:rsid w:val="006E4EE8"/>
    <w:rsid w:val="006E5076"/>
    <w:rsid w:val="006E709B"/>
    <w:rsid w:val="006F1262"/>
    <w:rsid w:val="006F2359"/>
    <w:rsid w:val="006F2F51"/>
    <w:rsid w:val="006F329C"/>
    <w:rsid w:val="006F32E1"/>
    <w:rsid w:val="006F37DE"/>
    <w:rsid w:val="006F3F7E"/>
    <w:rsid w:val="006F4880"/>
    <w:rsid w:val="006F5146"/>
    <w:rsid w:val="006F5CA0"/>
    <w:rsid w:val="006F60AF"/>
    <w:rsid w:val="006F6459"/>
    <w:rsid w:val="006F67C3"/>
    <w:rsid w:val="006F6909"/>
    <w:rsid w:val="0070367F"/>
    <w:rsid w:val="00703FB7"/>
    <w:rsid w:val="00704535"/>
    <w:rsid w:val="00704609"/>
    <w:rsid w:val="00705638"/>
    <w:rsid w:val="007059DA"/>
    <w:rsid w:val="00706854"/>
    <w:rsid w:val="0070746E"/>
    <w:rsid w:val="0071035D"/>
    <w:rsid w:val="00711DAE"/>
    <w:rsid w:val="007132CC"/>
    <w:rsid w:val="0071495F"/>
    <w:rsid w:val="00714BF8"/>
    <w:rsid w:val="0071529B"/>
    <w:rsid w:val="0071563E"/>
    <w:rsid w:val="00715C49"/>
    <w:rsid w:val="0071683B"/>
    <w:rsid w:val="007171CC"/>
    <w:rsid w:val="00720172"/>
    <w:rsid w:val="007214BE"/>
    <w:rsid w:val="00722703"/>
    <w:rsid w:val="00723C6F"/>
    <w:rsid w:val="0072447B"/>
    <w:rsid w:val="00725FE8"/>
    <w:rsid w:val="0072629C"/>
    <w:rsid w:val="007266D0"/>
    <w:rsid w:val="00726BCE"/>
    <w:rsid w:val="007279DA"/>
    <w:rsid w:val="0073063C"/>
    <w:rsid w:val="00730B16"/>
    <w:rsid w:val="00730E50"/>
    <w:rsid w:val="00731688"/>
    <w:rsid w:val="00733440"/>
    <w:rsid w:val="00735B35"/>
    <w:rsid w:val="007364FF"/>
    <w:rsid w:val="00736F8F"/>
    <w:rsid w:val="00740D26"/>
    <w:rsid w:val="0074123E"/>
    <w:rsid w:val="00743F20"/>
    <w:rsid w:val="00744C8B"/>
    <w:rsid w:val="00745701"/>
    <w:rsid w:val="00746419"/>
    <w:rsid w:val="0074782B"/>
    <w:rsid w:val="0074796B"/>
    <w:rsid w:val="00751239"/>
    <w:rsid w:val="00751252"/>
    <w:rsid w:val="0075147F"/>
    <w:rsid w:val="0075181A"/>
    <w:rsid w:val="0075295E"/>
    <w:rsid w:val="00752A44"/>
    <w:rsid w:val="00754D3B"/>
    <w:rsid w:val="00757605"/>
    <w:rsid w:val="0075772C"/>
    <w:rsid w:val="0076009B"/>
    <w:rsid w:val="00760DA7"/>
    <w:rsid w:val="00761490"/>
    <w:rsid w:val="00762363"/>
    <w:rsid w:val="00763847"/>
    <w:rsid w:val="0076429C"/>
    <w:rsid w:val="00764790"/>
    <w:rsid w:val="00764DC3"/>
    <w:rsid w:val="00764F10"/>
    <w:rsid w:val="00765D94"/>
    <w:rsid w:val="007664AF"/>
    <w:rsid w:val="00771EBF"/>
    <w:rsid w:val="00775563"/>
    <w:rsid w:val="00782692"/>
    <w:rsid w:val="00782AE2"/>
    <w:rsid w:val="00782C52"/>
    <w:rsid w:val="00783FC2"/>
    <w:rsid w:val="00784969"/>
    <w:rsid w:val="0078576A"/>
    <w:rsid w:val="00785C4C"/>
    <w:rsid w:val="007869AF"/>
    <w:rsid w:val="007875C5"/>
    <w:rsid w:val="00790A2C"/>
    <w:rsid w:val="00791269"/>
    <w:rsid w:val="007923BC"/>
    <w:rsid w:val="00792ACF"/>
    <w:rsid w:val="007946BE"/>
    <w:rsid w:val="00794848"/>
    <w:rsid w:val="00795FCD"/>
    <w:rsid w:val="00797781"/>
    <w:rsid w:val="007A0154"/>
    <w:rsid w:val="007A05BF"/>
    <w:rsid w:val="007A0A3F"/>
    <w:rsid w:val="007A0E5C"/>
    <w:rsid w:val="007A274C"/>
    <w:rsid w:val="007A32C7"/>
    <w:rsid w:val="007A3992"/>
    <w:rsid w:val="007A53E6"/>
    <w:rsid w:val="007A72A2"/>
    <w:rsid w:val="007B1723"/>
    <w:rsid w:val="007B6ABE"/>
    <w:rsid w:val="007C114E"/>
    <w:rsid w:val="007C1B7F"/>
    <w:rsid w:val="007C2460"/>
    <w:rsid w:val="007C2887"/>
    <w:rsid w:val="007C31D7"/>
    <w:rsid w:val="007C396F"/>
    <w:rsid w:val="007C3D0E"/>
    <w:rsid w:val="007C4182"/>
    <w:rsid w:val="007C43D9"/>
    <w:rsid w:val="007C582D"/>
    <w:rsid w:val="007C7083"/>
    <w:rsid w:val="007D1F69"/>
    <w:rsid w:val="007D61E0"/>
    <w:rsid w:val="007D7E86"/>
    <w:rsid w:val="007E612C"/>
    <w:rsid w:val="007E69AE"/>
    <w:rsid w:val="007F0B05"/>
    <w:rsid w:val="007F3516"/>
    <w:rsid w:val="007F4A32"/>
    <w:rsid w:val="007F65C0"/>
    <w:rsid w:val="007F68ED"/>
    <w:rsid w:val="007F6E2C"/>
    <w:rsid w:val="007F7777"/>
    <w:rsid w:val="00800B93"/>
    <w:rsid w:val="00800BE1"/>
    <w:rsid w:val="008029BA"/>
    <w:rsid w:val="00802BF8"/>
    <w:rsid w:val="00802DC7"/>
    <w:rsid w:val="00803B98"/>
    <w:rsid w:val="00805AE5"/>
    <w:rsid w:val="00806CEE"/>
    <w:rsid w:val="00807FBD"/>
    <w:rsid w:val="008108F7"/>
    <w:rsid w:val="00810C4A"/>
    <w:rsid w:val="00811C99"/>
    <w:rsid w:val="00812370"/>
    <w:rsid w:val="00812F17"/>
    <w:rsid w:val="008137F0"/>
    <w:rsid w:val="00813B78"/>
    <w:rsid w:val="008143E5"/>
    <w:rsid w:val="00814EA9"/>
    <w:rsid w:val="00817F41"/>
    <w:rsid w:val="008215F7"/>
    <w:rsid w:val="00821A92"/>
    <w:rsid w:val="00821B0B"/>
    <w:rsid w:val="0082265F"/>
    <w:rsid w:val="00822A2F"/>
    <w:rsid w:val="00824C55"/>
    <w:rsid w:val="008250A0"/>
    <w:rsid w:val="0082719E"/>
    <w:rsid w:val="00830A0B"/>
    <w:rsid w:val="00830CF9"/>
    <w:rsid w:val="008422EA"/>
    <w:rsid w:val="00843E0D"/>
    <w:rsid w:val="008440E8"/>
    <w:rsid w:val="0084442F"/>
    <w:rsid w:val="00844F77"/>
    <w:rsid w:val="0084672A"/>
    <w:rsid w:val="008469D7"/>
    <w:rsid w:val="00847C8D"/>
    <w:rsid w:val="00847E8B"/>
    <w:rsid w:val="00850DB6"/>
    <w:rsid w:val="008540B2"/>
    <w:rsid w:val="00855617"/>
    <w:rsid w:val="008564F3"/>
    <w:rsid w:val="0085679A"/>
    <w:rsid w:val="008567D2"/>
    <w:rsid w:val="00857CF3"/>
    <w:rsid w:val="00860139"/>
    <w:rsid w:val="00860A4C"/>
    <w:rsid w:val="00861B72"/>
    <w:rsid w:val="00863090"/>
    <w:rsid w:val="00863B0F"/>
    <w:rsid w:val="00864222"/>
    <w:rsid w:val="00864691"/>
    <w:rsid w:val="00864F3F"/>
    <w:rsid w:val="00865014"/>
    <w:rsid w:val="00866301"/>
    <w:rsid w:val="00871141"/>
    <w:rsid w:val="00874EEF"/>
    <w:rsid w:val="00875763"/>
    <w:rsid w:val="0087581B"/>
    <w:rsid w:val="00875A1C"/>
    <w:rsid w:val="0087640F"/>
    <w:rsid w:val="00876A6A"/>
    <w:rsid w:val="0087773A"/>
    <w:rsid w:val="008801BB"/>
    <w:rsid w:val="008806E5"/>
    <w:rsid w:val="0088174E"/>
    <w:rsid w:val="0088241A"/>
    <w:rsid w:val="00885675"/>
    <w:rsid w:val="00885D25"/>
    <w:rsid w:val="00887421"/>
    <w:rsid w:val="008906BB"/>
    <w:rsid w:val="00890A69"/>
    <w:rsid w:val="00892BA0"/>
    <w:rsid w:val="00893294"/>
    <w:rsid w:val="00893DDB"/>
    <w:rsid w:val="00896F3C"/>
    <w:rsid w:val="00897B19"/>
    <w:rsid w:val="00897DD0"/>
    <w:rsid w:val="008A0127"/>
    <w:rsid w:val="008A089C"/>
    <w:rsid w:val="008A1597"/>
    <w:rsid w:val="008A1C24"/>
    <w:rsid w:val="008A4FEB"/>
    <w:rsid w:val="008A5326"/>
    <w:rsid w:val="008A58FE"/>
    <w:rsid w:val="008A5A5E"/>
    <w:rsid w:val="008A6605"/>
    <w:rsid w:val="008A6938"/>
    <w:rsid w:val="008B0934"/>
    <w:rsid w:val="008B1002"/>
    <w:rsid w:val="008B181D"/>
    <w:rsid w:val="008B1850"/>
    <w:rsid w:val="008B2CD7"/>
    <w:rsid w:val="008B43A2"/>
    <w:rsid w:val="008B7234"/>
    <w:rsid w:val="008B76DC"/>
    <w:rsid w:val="008B79A6"/>
    <w:rsid w:val="008C24CB"/>
    <w:rsid w:val="008C26A1"/>
    <w:rsid w:val="008C3CC9"/>
    <w:rsid w:val="008C4C89"/>
    <w:rsid w:val="008C5020"/>
    <w:rsid w:val="008C7CC5"/>
    <w:rsid w:val="008D0785"/>
    <w:rsid w:val="008D1A76"/>
    <w:rsid w:val="008D310F"/>
    <w:rsid w:val="008D355A"/>
    <w:rsid w:val="008D55B9"/>
    <w:rsid w:val="008D5AD3"/>
    <w:rsid w:val="008E02A7"/>
    <w:rsid w:val="008E2858"/>
    <w:rsid w:val="008E29F4"/>
    <w:rsid w:val="008E326F"/>
    <w:rsid w:val="008E3724"/>
    <w:rsid w:val="008E59CE"/>
    <w:rsid w:val="008E61E6"/>
    <w:rsid w:val="008E6971"/>
    <w:rsid w:val="008E6A54"/>
    <w:rsid w:val="008E7715"/>
    <w:rsid w:val="008E7ECD"/>
    <w:rsid w:val="008F02BB"/>
    <w:rsid w:val="008F0F17"/>
    <w:rsid w:val="008F1CF0"/>
    <w:rsid w:val="008F295C"/>
    <w:rsid w:val="008F4AE1"/>
    <w:rsid w:val="008F5202"/>
    <w:rsid w:val="008F6FC7"/>
    <w:rsid w:val="008F7347"/>
    <w:rsid w:val="008F7899"/>
    <w:rsid w:val="00900EBF"/>
    <w:rsid w:val="0090159F"/>
    <w:rsid w:val="00902BF0"/>
    <w:rsid w:val="00904A85"/>
    <w:rsid w:val="00910D2C"/>
    <w:rsid w:val="009129CC"/>
    <w:rsid w:val="00912F74"/>
    <w:rsid w:val="00913038"/>
    <w:rsid w:val="00914F4A"/>
    <w:rsid w:val="00916422"/>
    <w:rsid w:val="00916E5E"/>
    <w:rsid w:val="00921784"/>
    <w:rsid w:val="00921FB3"/>
    <w:rsid w:val="009224AD"/>
    <w:rsid w:val="009261B2"/>
    <w:rsid w:val="00930DF5"/>
    <w:rsid w:val="00931D7B"/>
    <w:rsid w:val="00931F8E"/>
    <w:rsid w:val="009329B8"/>
    <w:rsid w:val="009330AA"/>
    <w:rsid w:val="009332CA"/>
    <w:rsid w:val="00934347"/>
    <w:rsid w:val="00935C6C"/>
    <w:rsid w:val="00936661"/>
    <w:rsid w:val="00937A92"/>
    <w:rsid w:val="00940031"/>
    <w:rsid w:val="00940342"/>
    <w:rsid w:val="00942E79"/>
    <w:rsid w:val="00942F30"/>
    <w:rsid w:val="00942F6D"/>
    <w:rsid w:val="00943152"/>
    <w:rsid w:val="0094443F"/>
    <w:rsid w:val="0094449A"/>
    <w:rsid w:val="00946281"/>
    <w:rsid w:val="00951137"/>
    <w:rsid w:val="00953FE4"/>
    <w:rsid w:val="009541EE"/>
    <w:rsid w:val="00955AC2"/>
    <w:rsid w:val="00956341"/>
    <w:rsid w:val="00956F2F"/>
    <w:rsid w:val="0095715A"/>
    <w:rsid w:val="00962954"/>
    <w:rsid w:val="00963750"/>
    <w:rsid w:val="0096503E"/>
    <w:rsid w:val="00965B1A"/>
    <w:rsid w:val="00965C65"/>
    <w:rsid w:val="00965E93"/>
    <w:rsid w:val="00966305"/>
    <w:rsid w:val="00967BA4"/>
    <w:rsid w:val="009716A9"/>
    <w:rsid w:val="00972C36"/>
    <w:rsid w:val="00973C82"/>
    <w:rsid w:val="0097427D"/>
    <w:rsid w:val="0097438B"/>
    <w:rsid w:val="00974A21"/>
    <w:rsid w:val="009755CD"/>
    <w:rsid w:val="0097625D"/>
    <w:rsid w:val="009764DF"/>
    <w:rsid w:val="00976E69"/>
    <w:rsid w:val="00977870"/>
    <w:rsid w:val="0098088A"/>
    <w:rsid w:val="0098274B"/>
    <w:rsid w:val="00983908"/>
    <w:rsid w:val="0098526C"/>
    <w:rsid w:val="00985B2D"/>
    <w:rsid w:val="00986550"/>
    <w:rsid w:val="00991238"/>
    <w:rsid w:val="009929BC"/>
    <w:rsid w:val="0099332F"/>
    <w:rsid w:val="0099408D"/>
    <w:rsid w:val="00994EFC"/>
    <w:rsid w:val="0099537F"/>
    <w:rsid w:val="00996ADB"/>
    <w:rsid w:val="009A1743"/>
    <w:rsid w:val="009A1A18"/>
    <w:rsid w:val="009A699F"/>
    <w:rsid w:val="009B0F9E"/>
    <w:rsid w:val="009B219E"/>
    <w:rsid w:val="009B2211"/>
    <w:rsid w:val="009B23E1"/>
    <w:rsid w:val="009B2A07"/>
    <w:rsid w:val="009B2FD7"/>
    <w:rsid w:val="009B3667"/>
    <w:rsid w:val="009B3E06"/>
    <w:rsid w:val="009B4545"/>
    <w:rsid w:val="009B5628"/>
    <w:rsid w:val="009B67A8"/>
    <w:rsid w:val="009C0791"/>
    <w:rsid w:val="009C230E"/>
    <w:rsid w:val="009C3BBB"/>
    <w:rsid w:val="009C3F31"/>
    <w:rsid w:val="009C6A39"/>
    <w:rsid w:val="009C7EDC"/>
    <w:rsid w:val="009D041C"/>
    <w:rsid w:val="009D1E45"/>
    <w:rsid w:val="009D2432"/>
    <w:rsid w:val="009D2AF8"/>
    <w:rsid w:val="009D34DA"/>
    <w:rsid w:val="009D3B4C"/>
    <w:rsid w:val="009D3D83"/>
    <w:rsid w:val="009D534F"/>
    <w:rsid w:val="009D65E3"/>
    <w:rsid w:val="009D7581"/>
    <w:rsid w:val="009E195A"/>
    <w:rsid w:val="009E365E"/>
    <w:rsid w:val="009E3951"/>
    <w:rsid w:val="009E4FAF"/>
    <w:rsid w:val="009E5D94"/>
    <w:rsid w:val="009E7ABB"/>
    <w:rsid w:val="009F029F"/>
    <w:rsid w:val="009F0785"/>
    <w:rsid w:val="009F1B7C"/>
    <w:rsid w:val="009F5A62"/>
    <w:rsid w:val="009F6BA1"/>
    <w:rsid w:val="009F6CCE"/>
    <w:rsid w:val="00A00FB7"/>
    <w:rsid w:val="00A016BF"/>
    <w:rsid w:val="00A01F26"/>
    <w:rsid w:val="00A0448E"/>
    <w:rsid w:val="00A065F5"/>
    <w:rsid w:val="00A06813"/>
    <w:rsid w:val="00A06D3F"/>
    <w:rsid w:val="00A070BE"/>
    <w:rsid w:val="00A07CDF"/>
    <w:rsid w:val="00A127B5"/>
    <w:rsid w:val="00A12BC3"/>
    <w:rsid w:val="00A152D7"/>
    <w:rsid w:val="00A217CE"/>
    <w:rsid w:val="00A22F34"/>
    <w:rsid w:val="00A23002"/>
    <w:rsid w:val="00A23AA7"/>
    <w:rsid w:val="00A25693"/>
    <w:rsid w:val="00A25B8B"/>
    <w:rsid w:val="00A2667E"/>
    <w:rsid w:val="00A26795"/>
    <w:rsid w:val="00A271EF"/>
    <w:rsid w:val="00A27B50"/>
    <w:rsid w:val="00A30DEC"/>
    <w:rsid w:val="00A3172E"/>
    <w:rsid w:val="00A351C9"/>
    <w:rsid w:val="00A37589"/>
    <w:rsid w:val="00A37AAD"/>
    <w:rsid w:val="00A44D33"/>
    <w:rsid w:val="00A45540"/>
    <w:rsid w:val="00A459CB"/>
    <w:rsid w:val="00A47528"/>
    <w:rsid w:val="00A5010D"/>
    <w:rsid w:val="00A51117"/>
    <w:rsid w:val="00A529DF"/>
    <w:rsid w:val="00A52E90"/>
    <w:rsid w:val="00A538B8"/>
    <w:rsid w:val="00A54995"/>
    <w:rsid w:val="00A56AFB"/>
    <w:rsid w:val="00A60443"/>
    <w:rsid w:val="00A629F5"/>
    <w:rsid w:val="00A64334"/>
    <w:rsid w:val="00A64693"/>
    <w:rsid w:val="00A651F4"/>
    <w:rsid w:val="00A65644"/>
    <w:rsid w:val="00A7022B"/>
    <w:rsid w:val="00A71E14"/>
    <w:rsid w:val="00A73860"/>
    <w:rsid w:val="00A73A5A"/>
    <w:rsid w:val="00A76CD8"/>
    <w:rsid w:val="00A80580"/>
    <w:rsid w:val="00A82191"/>
    <w:rsid w:val="00A831BA"/>
    <w:rsid w:val="00A845ED"/>
    <w:rsid w:val="00A84C17"/>
    <w:rsid w:val="00A84F0F"/>
    <w:rsid w:val="00A857C7"/>
    <w:rsid w:val="00A9064C"/>
    <w:rsid w:val="00A911AB"/>
    <w:rsid w:val="00A92F8A"/>
    <w:rsid w:val="00A93564"/>
    <w:rsid w:val="00A94AA3"/>
    <w:rsid w:val="00A96D49"/>
    <w:rsid w:val="00A96D89"/>
    <w:rsid w:val="00AA0525"/>
    <w:rsid w:val="00AA1B50"/>
    <w:rsid w:val="00AA3239"/>
    <w:rsid w:val="00AA3917"/>
    <w:rsid w:val="00AA3B1A"/>
    <w:rsid w:val="00AA4E10"/>
    <w:rsid w:val="00AA6469"/>
    <w:rsid w:val="00AB0866"/>
    <w:rsid w:val="00AB08AE"/>
    <w:rsid w:val="00AB0D2F"/>
    <w:rsid w:val="00AB1C1E"/>
    <w:rsid w:val="00AB4EE4"/>
    <w:rsid w:val="00AB549B"/>
    <w:rsid w:val="00AB7D2C"/>
    <w:rsid w:val="00AC0A8B"/>
    <w:rsid w:val="00AC259F"/>
    <w:rsid w:val="00AC3B29"/>
    <w:rsid w:val="00AC3D27"/>
    <w:rsid w:val="00AC4DEC"/>
    <w:rsid w:val="00AC74D8"/>
    <w:rsid w:val="00AC7B8A"/>
    <w:rsid w:val="00AC7D73"/>
    <w:rsid w:val="00AD28B2"/>
    <w:rsid w:val="00AD334D"/>
    <w:rsid w:val="00AD38C6"/>
    <w:rsid w:val="00AD4A9B"/>
    <w:rsid w:val="00AE02FD"/>
    <w:rsid w:val="00AE04B1"/>
    <w:rsid w:val="00AE2A00"/>
    <w:rsid w:val="00AE2AC0"/>
    <w:rsid w:val="00AE2D4A"/>
    <w:rsid w:val="00AE3086"/>
    <w:rsid w:val="00AE3449"/>
    <w:rsid w:val="00AE3A84"/>
    <w:rsid w:val="00AE3C16"/>
    <w:rsid w:val="00AE6CBD"/>
    <w:rsid w:val="00AF0653"/>
    <w:rsid w:val="00AF23F9"/>
    <w:rsid w:val="00AF34F5"/>
    <w:rsid w:val="00AF35E4"/>
    <w:rsid w:val="00AF3871"/>
    <w:rsid w:val="00AF7800"/>
    <w:rsid w:val="00AF7F6F"/>
    <w:rsid w:val="00B00297"/>
    <w:rsid w:val="00B013EF"/>
    <w:rsid w:val="00B02DC1"/>
    <w:rsid w:val="00B04487"/>
    <w:rsid w:val="00B04913"/>
    <w:rsid w:val="00B05674"/>
    <w:rsid w:val="00B07C06"/>
    <w:rsid w:val="00B10E09"/>
    <w:rsid w:val="00B11F9D"/>
    <w:rsid w:val="00B12C63"/>
    <w:rsid w:val="00B13434"/>
    <w:rsid w:val="00B13D87"/>
    <w:rsid w:val="00B13F5F"/>
    <w:rsid w:val="00B15B70"/>
    <w:rsid w:val="00B1707B"/>
    <w:rsid w:val="00B24079"/>
    <w:rsid w:val="00B243C6"/>
    <w:rsid w:val="00B26395"/>
    <w:rsid w:val="00B3206E"/>
    <w:rsid w:val="00B34DA4"/>
    <w:rsid w:val="00B4041F"/>
    <w:rsid w:val="00B40BF1"/>
    <w:rsid w:val="00B410CE"/>
    <w:rsid w:val="00B429D6"/>
    <w:rsid w:val="00B42D06"/>
    <w:rsid w:val="00B43D9B"/>
    <w:rsid w:val="00B45D44"/>
    <w:rsid w:val="00B47772"/>
    <w:rsid w:val="00B47E4E"/>
    <w:rsid w:val="00B504B6"/>
    <w:rsid w:val="00B51555"/>
    <w:rsid w:val="00B532E8"/>
    <w:rsid w:val="00B53FFF"/>
    <w:rsid w:val="00B5453A"/>
    <w:rsid w:val="00B5662E"/>
    <w:rsid w:val="00B604EB"/>
    <w:rsid w:val="00B616C9"/>
    <w:rsid w:val="00B62207"/>
    <w:rsid w:val="00B6278A"/>
    <w:rsid w:val="00B62EA0"/>
    <w:rsid w:val="00B62F5C"/>
    <w:rsid w:val="00B63B77"/>
    <w:rsid w:val="00B63E1B"/>
    <w:rsid w:val="00B640A6"/>
    <w:rsid w:val="00B640AE"/>
    <w:rsid w:val="00B6451E"/>
    <w:rsid w:val="00B6772F"/>
    <w:rsid w:val="00B679CF"/>
    <w:rsid w:val="00B72033"/>
    <w:rsid w:val="00B73E15"/>
    <w:rsid w:val="00B7402B"/>
    <w:rsid w:val="00B74656"/>
    <w:rsid w:val="00B76432"/>
    <w:rsid w:val="00B76DEF"/>
    <w:rsid w:val="00B80149"/>
    <w:rsid w:val="00B801B6"/>
    <w:rsid w:val="00B80821"/>
    <w:rsid w:val="00B80CBC"/>
    <w:rsid w:val="00B8103B"/>
    <w:rsid w:val="00B83763"/>
    <w:rsid w:val="00B8475D"/>
    <w:rsid w:val="00B86C72"/>
    <w:rsid w:val="00B87173"/>
    <w:rsid w:val="00B87A50"/>
    <w:rsid w:val="00B87AB9"/>
    <w:rsid w:val="00B87CA8"/>
    <w:rsid w:val="00B90080"/>
    <w:rsid w:val="00B90A64"/>
    <w:rsid w:val="00B91DF7"/>
    <w:rsid w:val="00B93370"/>
    <w:rsid w:val="00B94F71"/>
    <w:rsid w:val="00B97DDE"/>
    <w:rsid w:val="00BA0B16"/>
    <w:rsid w:val="00BA0DF8"/>
    <w:rsid w:val="00BA236D"/>
    <w:rsid w:val="00BA25D4"/>
    <w:rsid w:val="00BA3638"/>
    <w:rsid w:val="00BA5FDA"/>
    <w:rsid w:val="00BA621B"/>
    <w:rsid w:val="00BA7407"/>
    <w:rsid w:val="00BA7D32"/>
    <w:rsid w:val="00BB1C7A"/>
    <w:rsid w:val="00BB295C"/>
    <w:rsid w:val="00BB36AA"/>
    <w:rsid w:val="00BB45D6"/>
    <w:rsid w:val="00BB5376"/>
    <w:rsid w:val="00BB5DFE"/>
    <w:rsid w:val="00BB61CE"/>
    <w:rsid w:val="00BB6EC8"/>
    <w:rsid w:val="00BB6EE1"/>
    <w:rsid w:val="00BB70ED"/>
    <w:rsid w:val="00BC01B1"/>
    <w:rsid w:val="00BC29D5"/>
    <w:rsid w:val="00BC35EA"/>
    <w:rsid w:val="00BC5287"/>
    <w:rsid w:val="00BC6162"/>
    <w:rsid w:val="00BC6720"/>
    <w:rsid w:val="00BC6A35"/>
    <w:rsid w:val="00BC6AF7"/>
    <w:rsid w:val="00BC6C5D"/>
    <w:rsid w:val="00BD276F"/>
    <w:rsid w:val="00BD2789"/>
    <w:rsid w:val="00BD39D0"/>
    <w:rsid w:val="00BD3C26"/>
    <w:rsid w:val="00BD5955"/>
    <w:rsid w:val="00BD5E10"/>
    <w:rsid w:val="00BE1295"/>
    <w:rsid w:val="00BE1733"/>
    <w:rsid w:val="00BE1E9C"/>
    <w:rsid w:val="00BE2C50"/>
    <w:rsid w:val="00BE4C2A"/>
    <w:rsid w:val="00BE4F3F"/>
    <w:rsid w:val="00BE711E"/>
    <w:rsid w:val="00BE7CD1"/>
    <w:rsid w:val="00BE7EB3"/>
    <w:rsid w:val="00BF1621"/>
    <w:rsid w:val="00BF28D1"/>
    <w:rsid w:val="00BF3ED3"/>
    <w:rsid w:val="00BF4045"/>
    <w:rsid w:val="00BF4230"/>
    <w:rsid w:val="00BF48AD"/>
    <w:rsid w:val="00BF4DA7"/>
    <w:rsid w:val="00BF4F52"/>
    <w:rsid w:val="00BF4F83"/>
    <w:rsid w:val="00BF6694"/>
    <w:rsid w:val="00BF7769"/>
    <w:rsid w:val="00BF7E3E"/>
    <w:rsid w:val="00C02700"/>
    <w:rsid w:val="00C034B6"/>
    <w:rsid w:val="00C03A76"/>
    <w:rsid w:val="00C03B8A"/>
    <w:rsid w:val="00C045E5"/>
    <w:rsid w:val="00C04D17"/>
    <w:rsid w:val="00C04DD9"/>
    <w:rsid w:val="00C055B4"/>
    <w:rsid w:val="00C05C71"/>
    <w:rsid w:val="00C073FE"/>
    <w:rsid w:val="00C07FD4"/>
    <w:rsid w:val="00C11814"/>
    <w:rsid w:val="00C120D6"/>
    <w:rsid w:val="00C14445"/>
    <w:rsid w:val="00C14912"/>
    <w:rsid w:val="00C14E07"/>
    <w:rsid w:val="00C14F85"/>
    <w:rsid w:val="00C15264"/>
    <w:rsid w:val="00C17AE8"/>
    <w:rsid w:val="00C2095D"/>
    <w:rsid w:val="00C20B34"/>
    <w:rsid w:val="00C24667"/>
    <w:rsid w:val="00C2539B"/>
    <w:rsid w:val="00C25801"/>
    <w:rsid w:val="00C26E05"/>
    <w:rsid w:val="00C271B0"/>
    <w:rsid w:val="00C2785C"/>
    <w:rsid w:val="00C30C38"/>
    <w:rsid w:val="00C32001"/>
    <w:rsid w:val="00C32C45"/>
    <w:rsid w:val="00C34F0F"/>
    <w:rsid w:val="00C34F93"/>
    <w:rsid w:val="00C3556D"/>
    <w:rsid w:val="00C36E47"/>
    <w:rsid w:val="00C41FC6"/>
    <w:rsid w:val="00C420AF"/>
    <w:rsid w:val="00C42E72"/>
    <w:rsid w:val="00C430DB"/>
    <w:rsid w:val="00C4387B"/>
    <w:rsid w:val="00C43962"/>
    <w:rsid w:val="00C45F55"/>
    <w:rsid w:val="00C45FBA"/>
    <w:rsid w:val="00C46F74"/>
    <w:rsid w:val="00C5050C"/>
    <w:rsid w:val="00C509D0"/>
    <w:rsid w:val="00C520F8"/>
    <w:rsid w:val="00C5267F"/>
    <w:rsid w:val="00C53B80"/>
    <w:rsid w:val="00C54792"/>
    <w:rsid w:val="00C55221"/>
    <w:rsid w:val="00C5542C"/>
    <w:rsid w:val="00C55B80"/>
    <w:rsid w:val="00C60DD9"/>
    <w:rsid w:val="00C6446B"/>
    <w:rsid w:val="00C645D8"/>
    <w:rsid w:val="00C65512"/>
    <w:rsid w:val="00C67295"/>
    <w:rsid w:val="00C7089F"/>
    <w:rsid w:val="00C70915"/>
    <w:rsid w:val="00C7204E"/>
    <w:rsid w:val="00C72657"/>
    <w:rsid w:val="00C73C33"/>
    <w:rsid w:val="00C76096"/>
    <w:rsid w:val="00C7780E"/>
    <w:rsid w:val="00C80240"/>
    <w:rsid w:val="00C80CDB"/>
    <w:rsid w:val="00C80E2E"/>
    <w:rsid w:val="00C81676"/>
    <w:rsid w:val="00C841F0"/>
    <w:rsid w:val="00C846F0"/>
    <w:rsid w:val="00C84AC8"/>
    <w:rsid w:val="00C84D3C"/>
    <w:rsid w:val="00C87FF2"/>
    <w:rsid w:val="00C9035C"/>
    <w:rsid w:val="00C90685"/>
    <w:rsid w:val="00C907FE"/>
    <w:rsid w:val="00C931DE"/>
    <w:rsid w:val="00C953A1"/>
    <w:rsid w:val="00C96DC2"/>
    <w:rsid w:val="00CA0586"/>
    <w:rsid w:val="00CA06D1"/>
    <w:rsid w:val="00CA1646"/>
    <w:rsid w:val="00CA1D2A"/>
    <w:rsid w:val="00CA1F68"/>
    <w:rsid w:val="00CA373A"/>
    <w:rsid w:val="00CA75BE"/>
    <w:rsid w:val="00CA7A0B"/>
    <w:rsid w:val="00CB0441"/>
    <w:rsid w:val="00CB1D45"/>
    <w:rsid w:val="00CB336F"/>
    <w:rsid w:val="00CB656D"/>
    <w:rsid w:val="00CB69CC"/>
    <w:rsid w:val="00CB7055"/>
    <w:rsid w:val="00CB727E"/>
    <w:rsid w:val="00CB7559"/>
    <w:rsid w:val="00CC0124"/>
    <w:rsid w:val="00CC17AA"/>
    <w:rsid w:val="00CC22AD"/>
    <w:rsid w:val="00CC2E1B"/>
    <w:rsid w:val="00CC3ED4"/>
    <w:rsid w:val="00CC6C0A"/>
    <w:rsid w:val="00CD04E2"/>
    <w:rsid w:val="00CD1C57"/>
    <w:rsid w:val="00CD1EC4"/>
    <w:rsid w:val="00CD2AAC"/>
    <w:rsid w:val="00CD2ABB"/>
    <w:rsid w:val="00CD3269"/>
    <w:rsid w:val="00CD4474"/>
    <w:rsid w:val="00CD5076"/>
    <w:rsid w:val="00CD749B"/>
    <w:rsid w:val="00CD7C77"/>
    <w:rsid w:val="00CE1253"/>
    <w:rsid w:val="00CE1E92"/>
    <w:rsid w:val="00CE3067"/>
    <w:rsid w:val="00CE4AD7"/>
    <w:rsid w:val="00CE4B2D"/>
    <w:rsid w:val="00CE4DE5"/>
    <w:rsid w:val="00CE6D12"/>
    <w:rsid w:val="00CE7607"/>
    <w:rsid w:val="00CE7981"/>
    <w:rsid w:val="00CE7D43"/>
    <w:rsid w:val="00CF099F"/>
    <w:rsid w:val="00CF1EEF"/>
    <w:rsid w:val="00CF23C2"/>
    <w:rsid w:val="00CF663B"/>
    <w:rsid w:val="00CF6A92"/>
    <w:rsid w:val="00D01123"/>
    <w:rsid w:val="00D0464A"/>
    <w:rsid w:val="00D04D64"/>
    <w:rsid w:val="00D0561C"/>
    <w:rsid w:val="00D06F1D"/>
    <w:rsid w:val="00D07DD6"/>
    <w:rsid w:val="00D10486"/>
    <w:rsid w:val="00D13D69"/>
    <w:rsid w:val="00D14074"/>
    <w:rsid w:val="00D15624"/>
    <w:rsid w:val="00D1783B"/>
    <w:rsid w:val="00D179A8"/>
    <w:rsid w:val="00D24780"/>
    <w:rsid w:val="00D2490E"/>
    <w:rsid w:val="00D24F47"/>
    <w:rsid w:val="00D25D49"/>
    <w:rsid w:val="00D26F42"/>
    <w:rsid w:val="00D27545"/>
    <w:rsid w:val="00D30E32"/>
    <w:rsid w:val="00D31247"/>
    <w:rsid w:val="00D3129C"/>
    <w:rsid w:val="00D32089"/>
    <w:rsid w:val="00D34100"/>
    <w:rsid w:val="00D3467B"/>
    <w:rsid w:val="00D34C75"/>
    <w:rsid w:val="00D34EEC"/>
    <w:rsid w:val="00D350F9"/>
    <w:rsid w:val="00D35DA5"/>
    <w:rsid w:val="00D3655D"/>
    <w:rsid w:val="00D36740"/>
    <w:rsid w:val="00D36975"/>
    <w:rsid w:val="00D40E4D"/>
    <w:rsid w:val="00D4270F"/>
    <w:rsid w:val="00D46482"/>
    <w:rsid w:val="00D46F1B"/>
    <w:rsid w:val="00D4714D"/>
    <w:rsid w:val="00D47DED"/>
    <w:rsid w:val="00D51359"/>
    <w:rsid w:val="00D5173D"/>
    <w:rsid w:val="00D51DB7"/>
    <w:rsid w:val="00D52CAE"/>
    <w:rsid w:val="00D54279"/>
    <w:rsid w:val="00D55A88"/>
    <w:rsid w:val="00D561D2"/>
    <w:rsid w:val="00D56331"/>
    <w:rsid w:val="00D572AF"/>
    <w:rsid w:val="00D60CEE"/>
    <w:rsid w:val="00D61E67"/>
    <w:rsid w:val="00D6409B"/>
    <w:rsid w:val="00D65BF3"/>
    <w:rsid w:val="00D664D7"/>
    <w:rsid w:val="00D67B90"/>
    <w:rsid w:val="00D70287"/>
    <w:rsid w:val="00D708C8"/>
    <w:rsid w:val="00D70AD2"/>
    <w:rsid w:val="00D7124C"/>
    <w:rsid w:val="00D716BA"/>
    <w:rsid w:val="00D71886"/>
    <w:rsid w:val="00D71A7A"/>
    <w:rsid w:val="00D71AB4"/>
    <w:rsid w:val="00D735BF"/>
    <w:rsid w:val="00D73D97"/>
    <w:rsid w:val="00D744FF"/>
    <w:rsid w:val="00D7481B"/>
    <w:rsid w:val="00D74BA0"/>
    <w:rsid w:val="00D74F3C"/>
    <w:rsid w:val="00D75233"/>
    <w:rsid w:val="00D77246"/>
    <w:rsid w:val="00D779F3"/>
    <w:rsid w:val="00D77A7A"/>
    <w:rsid w:val="00D8109A"/>
    <w:rsid w:val="00D81E38"/>
    <w:rsid w:val="00D83890"/>
    <w:rsid w:val="00D86AF2"/>
    <w:rsid w:val="00D86BEF"/>
    <w:rsid w:val="00D8736F"/>
    <w:rsid w:val="00D9047A"/>
    <w:rsid w:val="00D91CA2"/>
    <w:rsid w:val="00D92E4A"/>
    <w:rsid w:val="00D93614"/>
    <w:rsid w:val="00D940BB"/>
    <w:rsid w:val="00D94CA2"/>
    <w:rsid w:val="00D95872"/>
    <w:rsid w:val="00D95BA7"/>
    <w:rsid w:val="00D95DA1"/>
    <w:rsid w:val="00D96864"/>
    <w:rsid w:val="00D96BD3"/>
    <w:rsid w:val="00D97FD7"/>
    <w:rsid w:val="00DA058D"/>
    <w:rsid w:val="00DA41F3"/>
    <w:rsid w:val="00DA4C92"/>
    <w:rsid w:val="00DB13FA"/>
    <w:rsid w:val="00DB51A9"/>
    <w:rsid w:val="00DB53F5"/>
    <w:rsid w:val="00DB55FF"/>
    <w:rsid w:val="00DB76C3"/>
    <w:rsid w:val="00DB76D7"/>
    <w:rsid w:val="00DC1460"/>
    <w:rsid w:val="00DC1996"/>
    <w:rsid w:val="00DC1AA4"/>
    <w:rsid w:val="00DC2987"/>
    <w:rsid w:val="00DC2FBC"/>
    <w:rsid w:val="00DC5787"/>
    <w:rsid w:val="00DC5ABD"/>
    <w:rsid w:val="00DC661D"/>
    <w:rsid w:val="00DC7494"/>
    <w:rsid w:val="00DC7A53"/>
    <w:rsid w:val="00DD1356"/>
    <w:rsid w:val="00DD15F5"/>
    <w:rsid w:val="00DD3BD3"/>
    <w:rsid w:val="00DD4B58"/>
    <w:rsid w:val="00DE0F4E"/>
    <w:rsid w:val="00DE123F"/>
    <w:rsid w:val="00DE134E"/>
    <w:rsid w:val="00DE1D8F"/>
    <w:rsid w:val="00DE3BCB"/>
    <w:rsid w:val="00DE3C91"/>
    <w:rsid w:val="00DE3E77"/>
    <w:rsid w:val="00DE4914"/>
    <w:rsid w:val="00DE576A"/>
    <w:rsid w:val="00DE7BE9"/>
    <w:rsid w:val="00DF1C7E"/>
    <w:rsid w:val="00DF3164"/>
    <w:rsid w:val="00DF3984"/>
    <w:rsid w:val="00DF44C2"/>
    <w:rsid w:val="00DF55D3"/>
    <w:rsid w:val="00DF6FBD"/>
    <w:rsid w:val="00DF7C68"/>
    <w:rsid w:val="00E011E1"/>
    <w:rsid w:val="00E017EE"/>
    <w:rsid w:val="00E01E60"/>
    <w:rsid w:val="00E01F9F"/>
    <w:rsid w:val="00E0298B"/>
    <w:rsid w:val="00E03509"/>
    <w:rsid w:val="00E04424"/>
    <w:rsid w:val="00E05B06"/>
    <w:rsid w:val="00E05E3B"/>
    <w:rsid w:val="00E0709E"/>
    <w:rsid w:val="00E13970"/>
    <w:rsid w:val="00E139D3"/>
    <w:rsid w:val="00E13BA6"/>
    <w:rsid w:val="00E15150"/>
    <w:rsid w:val="00E1647B"/>
    <w:rsid w:val="00E1651E"/>
    <w:rsid w:val="00E21A79"/>
    <w:rsid w:val="00E21C61"/>
    <w:rsid w:val="00E22C9A"/>
    <w:rsid w:val="00E241A3"/>
    <w:rsid w:val="00E255B1"/>
    <w:rsid w:val="00E26105"/>
    <w:rsid w:val="00E26493"/>
    <w:rsid w:val="00E2790C"/>
    <w:rsid w:val="00E30632"/>
    <w:rsid w:val="00E30ECC"/>
    <w:rsid w:val="00E30FAE"/>
    <w:rsid w:val="00E35839"/>
    <w:rsid w:val="00E36519"/>
    <w:rsid w:val="00E368A0"/>
    <w:rsid w:val="00E37623"/>
    <w:rsid w:val="00E41100"/>
    <w:rsid w:val="00E4215C"/>
    <w:rsid w:val="00E42448"/>
    <w:rsid w:val="00E432E3"/>
    <w:rsid w:val="00E52D64"/>
    <w:rsid w:val="00E53A36"/>
    <w:rsid w:val="00E54C30"/>
    <w:rsid w:val="00E5744C"/>
    <w:rsid w:val="00E5777A"/>
    <w:rsid w:val="00E61BFB"/>
    <w:rsid w:val="00E6342E"/>
    <w:rsid w:val="00E64402"/>
    <w:rsid w:val="00E66563"/>
    <w:rsid w:val="00E70285"/>
    <w:rsid w:val="00E7093D"/>
    <w:rsid w:val="00E7163B"/>
    <w:rsid w:val="00E71821"/>
    <w:rsid w:val="00E726F6"/>
    <w:rsid w:val="00E73D53"/>
    <w:rsid w:val="00E774D4"/>
    <w:rsid w:val="00E7775B"/>
    <w:rsid w:val="00E77DDD"/>
    <w:rsid w:val="00E81271"/>
    <w:rsid w:val="00E81409"/>
    <w:rsid w:val="00E82AF7"/>
    <w:rsid w:val="00E87A00"/>
    <w:rsid w:val="00E87B37"/>
    <w:rsid w:val="00E90CF0"/>
    <w:rsid w:val="00E914BB"/>
    <w:rsid w:val="00E9266E"/>
    <w:rsid w:val="00E94D46"/>
    <w:rsid w:val="00E96237"/>
    <w:rsid w:val="00E976AA"/>
    <w:rsid w:val="00E97C7D"/>
    <w:rsid w:val="00EA0421"/>
    <w:rsid w:val="00EA103F"/>
    <w:rsid w:val="00EA138C"/>
    <w:rsid w:val="00EA163B"/>
    <w:rsid w:val="00EA1B24"/>
    <w:rsid w:val="00EA38F4"/>
    <w:rsid w:val="00EA3AA8"/>
    <w:rsid w:val="00EA4C35"/>
    <w:rsid w:val="00EA58B3"/>
    <w:rsid w:val="00EA5C0E"/>
    <w:rsid w:val="00EA70CF"/>
    <w:rsid w:val="00EA72E5"/>
    <w:rsid w:val="00EB0E47"/>
    <w:rsid w:val="00EB416D"/>
    <w:rsid w:val="00EB41CD"/>
    <w:rsid w:val="00EB4286"/>
    <w:rsid w:val="00EB4DFB"/>
    <w:rsid w:val="00EB5091"/>
    <w:rsid w:val="00EB769F"/>
    <w:rsid w:val="00EC00BA"/>
    <w:rsid w:val="00EC1EDF"/>
    <w:rsid w:val="00EC2EBC"/>
    <w:rsid w:val="00EC76E0"/>
    <w:rsid w:val="00ED0C27"/>
    <w:rsid w:val="00ED0CB6"/>
    <w:rsid w:val="00ED190F"/>
    <w:rsid w:val="00ED2979"/>
    <w:rsid w:val="00ED306C"/>
    <w:rsid w:val="00ED3AF9"/>
    <w:rsid w:val="00ED40AA"/>
    <w:rsid w:val="00ED7409"/>
    <w:rsid w:val="00EE1A11"/>
    <w:rsid w:val="00EE2152"/>
    <w:rsid w:val="00EE2FAB"/>
    <w:rsid w:val="00EE38BF"/>
    <w:rsid w:val="00EE7AF5"/>
    <w:rsid w:val="00EF107E"/>
    <w:rsid w:val="00EF13C9"/>
    <w:rsid w:val="00EF31A8"/>
    <w:rsid w:val="00EF39F3"/>
    <w:rsid w:val="00EF42AF"/>
    <w:rsid w:val="00EF52D2"/>
    <w:rsid w:val="00EF6323"/>
    <w:rsid w:val="00EF79B1"/>
    <w:rsid w:val="00F0116F"/>
    <w:rsid w:val="00F01368"/>
    <w:rsid w:val="00F02539"/>
    <w:rsid w:val="00F0270C"/>
    <w:rsid w:val="00F06D5A"/>
    <w:rsid w:val="00F074E4"/>
    <w:rsid w:val="00F07C22"/>
    <w:rsid w:val="00F10AAF"/>
    <w:rsid w:val="00F13091"/>
    <w:rsid w:val="00F13539"/>
    <w:rsid w:val="00F1374F"/>
    <w:rsid w:val="00F14A11"/>
    <w:rsid w:val="00F152EC"/>
    <w:rsid w:val="00F16E9F"/>
    <w:rsid w:val="00F20459"/>
    <w:rsid w:val="00F206A0"/>
    <w:rsid w:val="00F23DC2"/>
    <w:rsid w:val="00F2512E"/>
    <w:rsid w:val="00F25BB3"/>
    <w:rsid w:val="00F261D0"/>
    <w:rsid w:val="00F30251"/>
    <w:rsid w:val="00F30618"/>
    <w:rsid w:val="00F316B1"/>
    <w:rsid w:val="00F3245E"/>
    <w:rsid w:val="00F327C2"/>
    <w:rsid w:val="00F32BE2"/>
    <w:rsid w:val="00F32E7D"/>
    <w:rsid w:val="00F33685"/>
    <w:rsid w:val="00F33F31"/>
    <w:rsid w:val="00F362CC"/>
    <w:rsid w:val="00F36607"/>
    <w:rsid w:val="00F40825"/>
    <w:rsid w:val="00F40DCE"/>
    <w:rsid w:val="00F4239E"/>
    <w:rsid w:val="00F42C37"/>
    <w:rsid w:val="00F42E5C"/>
    <w:rsid w:val="00F4337F"/>
    <w:rsid w:val="00F43A9D"/>
    <w:rsid w:val="00F44F60"/>
    <w:rsid w:val="00F4615F"/>
    <w:rsid w:val="00F515FE"/>
    <w:rsid w:val="00F51F51"/>
    <w:rsid w:val="00F53519"/>
    <w:rsid w:val="00F5486A"/>
    <w:rsid w:val="00F557A5"/>
    <w:rsid w:val="00F57589"/>
    <w:rsid w:val="00F61C4E"/>
    <w:rsid w:val="00F64208"/>
    <w:rsid w:val="00F65EEB"/>
    <w:rsid w:val="00F6698C"/>
    <w:rsid w:val="00F67155"/>
    <w:rsid w:val="00F67B7F"/>
    <w:rsid w:val="00F718B3"/>
    <w:rsid w:val="00F71F08"/>
    <w:rsid w:val="00F731AB"/>
    <w:rsid w:val="00F735B0"/>
    <w:rsid w:val="00F736CB"/>
    <w:rsid w:val="00F75552"/>
    <w:rsid w:val="00F77477"/>
    <w:rsid w:val="00F77D0D"/>
    <w:rsid w:val="00F77E5B"/>
    <w:rsid w:val="00F819D2"/>
    <w:rsid w:val="00F84ACF"/>
    <w:rsid w:val="00F86BE8"/>
    <w:rsid w:val="00F86C10"/>
    <w:rsid w:val="00F9170F"/>
    <w:rsid w:val="00F91EAA"/>
    <w:rsid w:val="00F9519D"/>
    <w:rsid w:val="00F9684D"/>
    <w:rsid w:val="00F971F7"/>
    <w:rsid w:val="00FA00C3"/>
    <w:rsid w:val="00FA01BC"/>
    <w:rsid w:val="00FA10D8"/>
    <w:rsid w:val="00FA1791"/>
    <w:rsid w:val="00FA280F"/>
    <w:rsid w:val="00FA4B49"/>
    <w:rsid w:val="00FA7EA5"/>
    <w:rsid w:val="00FB083B"/>
    <w:rsid w:val="00FB1B3C"/>
    <w:rsid w:val="00FB2256"/>
    <w:rsid w:val="00FB3C57"/>
    <w:rsid w:val="00FB3F3C"/>
    <w:rsid w:val="00FB56F1"/>
    <w:rsid w:val="00FB5E97"/>
    <w:rsid w:val="00FC0837"/>
    <w:rsid w:val="00FC0A55"/>
    <w:rsid w:val="00FC1C11"/>
    <w:rsid w:val="00FC1C40"/>
    <w:rsid w:val="00FC4B02"/>
    <w:rsid w:val="00FC4CB2"/>
    <w:rsid w:val="00FC4F72"/>
    <w:rsid w:val="00FC61FF"/>
    <w:rsid w:val="00FC6403"/>
    <w:rsid w:val="00FC6641"/>
    <w:rsid w:val="00FC6BA8"/>
    <w:rsid w:val="00FC7703"/>
    <w:rsid w:val="00FD0117"/>
    <w:rsid w:val="00FD0945"/>
    <w:rsid w:val="00FD17AB"/>
    <w:rsid w:val="00FD1BFA"/>
    <w:rsid w:val="00FD36AA"/>
    <w:rsid w:val="00FD4300"/>
    <w:rsid w:val="00FD4811"/>
    <w:rsid w:val="00FD4C3B"/>
    <w:rsid w:val="00FD5BFD"/>
    <w:rsid w:val="00FD6C9C"/>
    <w:rsid w:val="00FD7807"/>
    <w:rsid w:val="00FE23B1"/>
    <w:rsid w:val="00FE3606"/>
    <w:rsid w:val="00FE4073"/>
    <w:rsid w:val="00FE4812"/>
    <w:rsid w:val="00FE5685"/>
    <w:rsid w:val="00FE6176"/>
    <w:rsid w:val="00FF09C0"/>
    <w:rsid w:val="00FF187C"/>
    <w:rsid w:val="00FF285C"/>
    <w:rsid w:val="00FF5832"/>
    <w:rsid w:val="00FF76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A7"/>
    <w:rPr>
      <w:rFonts w:ascii="Calibri" w:eastAsia="Calibri" w:hAnsi="Calibri" w:cs="Times New Roman"/>
    </w:rPr>
  </w:style>
  <w:style w:type="paragraph" w:styleId="Ttulo1">
    <w:name w:val="heading 1"/>
    <w:basedOn w:val="Normal"/>
    <w:next w:val="Normal"/>
    <w:link w:val="Ttulo1Char"/>
    <w:uiPriority w:val="9"/>
    <w:qFormat/>
    <w:rsid w:val="00D2490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929A7"/>
    <w:pPr>
      <w:ind w:left="720"/>
      <w:contextualSpacing/>
    </w:pPr>
  </w:style>
  <w:style w:type="paragraph" w:styleId="Textodebalo">
    <w:name w:val="Balloon Text"/>
    <w:basedOn w:val="Normal"/>
    <w:link w:val="TextodebaloChar"/>
    <w:uiPriority w:val="99"/>
    <w:semiHidden/>
    <w:unhideWhenUsed/>
    <w:rsid w:val="00BD39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D39D0"/>
    <w:rPr>
      <w:rFonts w:ascii="Tahoma" w:eastAsia="Calibri" w:hAnsi="Tahoma" w:cs="Tahoma"/>
      <w:sz w:val="16"/>
      <w:szCs w:val="16"/>
    </w:rPr>
  </w:style>
  <w:style w:type="character" w:styleId="Refdecomentrio">
    <w:name w:val="annotation reference"/>
    <w:basedOn w:val="Fontepargpadro"/>
    <w:uiPriority w:val="99"/>
    <w:semiHidden/>
    <w:unhideWhenUsed/>
    <w:rsid w:val="00936661"/>
    <w:rPr>
      <w:sz w:val="16"/>
      <w:szCs w:val="16"/>
    </w:rPr>
  </w:style>
  <w:style w:type="paragraph" w:styleId="Textodecomentrio">
    <w:name w:val="annotation text"/>
    <w:basedOn w:val="Normal"/>
    <w:link w:val="TextodecomentrioChar"/>
    <w:uiPriority w:val="99"/>
    <w:semiHidden/>
    <w:unhideWhenUsed/>
    <w:rsid w:val="0093666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36661"/>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936661"/>
    <w:rPr>
      <w:b/>
      <w:bCs/>
    </w:rPr>
  </w:style>
  <w:style w:type="character" w:customStyle="1" w:styleId="AssuntodocomentrioChar">
    <w:name w:val="Assunto do comentário Char"/>
    <w:basedOn w:val="TextodecomentrioChar"/>
    <w:link w:val="Assuntodocomentrio"/>
    <w:uiPriority w:val="99"/>
    <w:semiHidden/>
    <w:rsid w:val="00936661"/>
    <w:rPr>
      <w:rFonts w:ascii="Calibri" w:eastAsia="Calibri" w:hAnsi="Calibri" w:cs="Times New Roman"/>
      <w:b/>
      <w:bCs/>
      <w:sz w:val="20"/>
      <w:szCs w:val="20"/>
    </w:rPr>
  </w:style>
  <w:style w:type="character" w:styleId="Hyperlink">
    <w:name w:val="Hyperlink"/>
    <w:basedOn w:val="Fontepargpadro"/>
    <w:uiPriority w:val="99"/>
    <w:unhideWhenUsed/>
    <w:rsid w:val="000677F2"/>
    <w:rPr>
      <w:color w:val="0000FF" w:themeColor="hyperlink"/>
      <w:u w:val="single"/>
    </w:rPr>
  </w:style>
  <w:style w:type="numbering" w:customStyle="1" w:styleId="Semlista1">
    <w:name w:val="Sem lista1"/>
    <w:next w:val="Semlista"/>
    <w:uiPriority w:val="99"/>
    <w:semiHidden/>
    <w:unhideWhenUsed/>
    <w:rsid w:val="003820A6"/>
  </w:style>
  <w:style w:type="paragraph" w:styleId="NormalWeb">
    <w:name w:val="Normal (Web)"/>
    <w:basedOn w:val="Normal"/>
    <w:uiPriority w:val="99"/>
    <w:unhideWhenUsed/>
    <w:rsid w:val="0099537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D2490E"/>
    <w:rPr>
      <w:rFonts w:asciiTheme="majorHAnsi" w:eastAsiaTheme="majorEastAsia" w:hAnsiTheme="majorHAnsi" w:cstheme="majorBidi"/>
      <w:color w:val="365F91" w:themeColor="accent1" w:themeShade="BF"/>
      <w:sz w:val="32"/>
      <w:szCs w:val="32"/>
      <w:lang w:eastAsia="pt-BR"/>
    </w:rPr>
  </w:style>
  <w:style w:type="paragraph" w:styleId="Bibliografia">
    <w:name w:val="Bibliography"/>
    <w:basedOn w:val="Normal"/>
    <w:next w:val="Normal"/>
    <w:uiPriority w:val="37"/>
    <w:unhideWhenUsed/>
    <w:rsid w:val="00B87AB9"/>
  </w:style>
  <w:style w:type="table" w:styleId="Tabelacomgrade">
    <w:name w:val="Table Grid"/>
    <w:basedOn w:val="Tabelanormal"/>
    <w:uiPriority w:val="39"/>
    <w:rsid w:val="001A1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12624F"/>
    <w:pPr>
      <w:spacing w:after="0" w:line="240" w:lineRule="auto"/>
    </w:pPr>
    <w:rPr>
      <w:rFonts w:ascii="Calibri" w:eastAsia="Calibri" w:hAnsi="Calibri" w:cs="Times New Roman"/>
    </w:rPr>
  </w:style>
  <w:style w:type="character" w:styleId="Nmerodelinha">
    <w:name w:val="line number"/>
    <w:basedOn w:val="Fontepargpadro"/>
    <w:uiPriority w:val="99"/>
    <w:semiHidden/>
    <w:unhideWhenUsed/>
    <w:rsid w:val="007C7083"/>
  </w:style>
</w:styles>
</file>

<file path=word/webSettings.xml><?xml version="1.0" encoding="utf-8"?>
<w:webSettings xmlns:r="http://schemas.openxmlformats.org/officeDocument/2006/relationships" xmlns:w="http://schemas.openxmlformats.org/wordprocessingml/2006/main">
  <w:divs>
    <w:div w:id="46148092">
      <w:bodyDiv w:val="1"/>
      <w:marLeft w:val="0"/>
      <w:marRight w:val="0"/>
      <w:marTop w:val="0"/>
      <w:marBottom w:val="0"/>
      <w:divBdr>
        <w:top w:val="none" w:sz="0" w:space="0" w:color="auto"/>
        <w:left w:val="none" w:sz="0" w:space="0" w:color="auto"/>
        <w:bottom w:val="none" w:sz="0" w:space="0" w:color="auto"/>
        <w:right w:val="none" w:sz="0" w:space="0" w:color="auto"/>
      </w:divBdr>
    </w:div>
    <w:div w:id="49154273">
      <w:bodyDiv w:val="1"/>
      <w:marLeft w:val="0"/>
      <w:marRight w:val="0"/>
      <w:marTop w:val="0"/>
      <w:marBottom w:val="0"/>
      <w:divBdr>
        <w:top w:val="none" w:sz="0" w:space="0" w:color="auto"/>
        <w:left w:val="none" w:sz="0" w:space="0" w:color="auto"/>
        <w:bottom w:val="none" w:sz="0" w:space="0" w:color="auto"/>
        <w:right w:val="none" w:sz="0" w:space="0" w:color="auto"/>
      </w:divBdr>
    </w:div>
    <w:div w:id="92553088">
      <w:bodyDiv w:val="1"/>
      <w:marLeft w:val="0"/>
      <w:marRight w:val="0"/>
      <w:marTop w:val="0"/>
      <w:marBottom w:val="0"/>
      <w:divBdr>
        <w:top w:val="none" w:sz="0" w:space="0" w:color="auto"/>
        <w:left w:val="none" w:sz="0" w:space="0" w:color="auto"/>
        <w:bottom w:val="none" w:sz="0" w:space="0" w:color="auto"/>
        <w:right w:val="none" w:sz="0" w:space="0" w:color="auto"/>
      </w:divBdr>
    </w:div>
    <w:div w:id="126440360">
      <w:bodyDiv w:val="1"/>
      <w:marLeft w:val="0"/>
      <w:marRight w:val="0"/>
      <w:marTop w:val="0"/>
      <w:marBottom w:val="0"/>
      <w:divBdr>
        <w:top w:val="none" w:sz="0" w:space="0" w:color="auto"/>
        <w:left w:val="none" w:sz="0" w:space="0" w:color="auto"/>
        <w:bottom w:val="none" w:sz="0" w:space="0" w:color="auto"/>
        <w:right w:val="none" w:sz="0" w:space="0" w:color="auto"/>
      </w:divBdr>
    </w:div>
    <w:div w:id="129441549">
      <w:bodyDiv w:val="1"/>
      <w:marLeft w:val="0"/>
      <w:marRight w:val="0"/>
      <w:marTop w:val="0"/>
      <w:marBottom w:val="0"/>
      <w:divBdr>
        <w:top w:val="none" w:sz="0" w:space="0" w:color="auto"/>
        <w:left w:val="none" w:sz="0" w:space="0" w:color="auto"/>
        <w:bottom w:val="none" w:sz="0" w:space="0" w:color="auto"/>
        <w:right w:val="none" w:sz="0" w:space="0" w:color="auto"/>
      </w:divBdr>
    </w:div>
    <w:div w:id="162860239">
      <w:bodyDiv w:val="1"/>
      <w:marLeft w:val="0"/>
      <w:marRight w:val="0"/>
      <w:marTop w:val="0"/>
      <w:marBottom w:val="0"/>
      <w:divBdr>
        <w:top w:val="none" w:sz="0" w:space="0" w:color="auto"/>
        <w:left w:val="none" w:sz="0" w:space="0" w:color="auto"/>
        <w:bottom w:val="none" w:sz="0" w:space="0" w:color="auto"/>
        <w:right w:val="none" w:sz="0" w:space="0" w:color="auto"/>
      </w:divBdr>
    </w:div>
    <w:div w:id="189219332">
      <w:bodyDiv w:val="1"/>
      <w:marLeft w:val="0"/>
      <w:marRight w:val="0"/>
      <w:marTop w:val="0"/>
      <w:marBottom w:val="0"/>
      <w:divBdr>
        <w:top w:val="none" w:sz="0" w:space="0" w:color="auto"/>
        <w:left w:val="none" w:sz="0" w:space="0" w:color="auto"/>
        <w:bottom w:val="none" w:sz="0" w:space="0" w:color="auto"/>
        <w:right w:val="none" w:sz="0" w:space="0" w:color="auto"/>
      </w:divBdr>
    </w:div>
    <w:div w:id="245964200">
      <w:bodyDiv w:val="1"/>
      <w:marLeft w:val="0"/>
      <w:marRight w:val="0"/>
      <w:marTop w:val="0"/>
      <w:marBottom w:val="0"/>
      <w:divBdr>
        <w:top w:val="none" w:sz="0" w:space="0" w:color="auto"/>
        <w:left w:val="none" w:sz="0" w:space="0" w:color="auto"/>
        <w:bottom w:val="none" w:sz="0" w:space="0" w:color="auto"/>
        <w:right w:val="none" w:sz="0" w:space="0" w:color="auto"/>
      </w:divBdr>
    </w:div>
    <w:div w:id="261644012">
      <w:bodyDiv w:val="1"/>
      <w:marLeft w:val="0"/>
      <w:marRight w:val="0"/>
      <w:marTop w:val="0"/>
      <w:marBottom w:val="0"/>
      <w:divBdr>
        <w:top w:val="none" w:sz="0" w:space="0" w:color="auto"/>
        <w:left w:val="none" w:sz="0" w:space="0" w:color="auto"/>
        <w:bottom w:val="none" w:sz="0" w:space="0" w:color="auto"/>
        <w:right w:val="none" w:sz="0" w:space="0" w:color="auto"/>
      </w:divBdr>
    </w:div>
    <w:div w:id="267857757">
      <w:bodyDiv w:val="1"/>
      <w:marLeft w:val="0"/>
      <w:marRight w:val="0"/>
      <w:marTop w:val="0"/>
      <w:marBottom w:val="0"/>
      <w:divBdr>
        <w:top w:val="none" w:sz="0" w:space="0" w:color="auto"/>
        <w:left w:val="none" w:sz="0" w:space="0" w:color="auto"/>
        <w:bottom w:val="none" w:sz="0" w:space="0" w:color="auto"/>
        <w:right w:val="none" w:sz="0" w:space="0" w:color="auto"/>
      </w:divBdr>
    </w:div>
    <w:div w:id="277445472">
      <w:bodyDiv w:val="1"/>
      <w:marLeft w:val="0"/>
      <w:marRight w:val="0"/>
      <w:marTop w:val="0"/>
      <w:marBottom w:val="0"/>
      <w:divBdr>
        <w:top w:val="none" w:sz="0" w:space="0" w:color="auto"/>
        <w:left w:val="none" w:sz="0" w:space="0" w:color="auto"/>
        <w:bottom w:val="none" w:sz="0" w:space="0" w:color="auto"/>
        <w:right w:val="none" w:sz="0" w:space="0" w:color="auto"/>
      </w:divBdr>
    </w:div>
    <w:div w:id="291715904">
      <w:bodyDiv w:val="1"/>
      <w:marLeft w:val="0"/>
      <w:marRight w:val="0"/>
      <w:marTop w:val="0"/>
      <w:marBottom w:val="0"/>
      <w:divBdr>
        <w:top w:val="none" w:sz="0" w:space="0" w:color="auto"/>
        <w:left w:val="none" w:sz="0" w:space="0" w:color="auto"/>
        <w:bottom w:val="none" w:sz="0" w:space="0" w:color="auto"/>
        <w:right w:val="none" w:sz="0" w:space="0" w:color="auto"/>
      </w:divBdr>
    </w:div>
    <w:div w:id="334648080">
      <w:bodyDiv w:val="1"/>
      <w:marLeft w:val="0"/>
      <w:marRight w:val="0"/>
      <w:marTop w:val="0"/>
      <w:marBottom w:val="0"/>
      <w:divBdr>
        <w:top w:val="none" w:sz="0" w:space="0" w:color="auto"/>
        <w:left w:val="none" w:sz="0" w:space="0" w:color="auto"/>
        <w:bottom w:val="none" w:sz="0" w:space="0" w:color="auto"/>
        <w:right w:val="none" w:sz="0" w:space="0" w:color="auto"/>
      </w:divBdr>
    </w:div>
    <w:div w:id="339699918">
      <w:bodyDiv w:val="1"/>
      <w:marLeft w:val="0"/>
      <w:marRight w:val="0"/>
      <w:marTop w:val="0"/>
      <w:marBottom w:val="0"/>
      <w:divBdr>
        <w:top w:val="none" w:sz="0" w:space="0" w:color="auto"/>
        <w:left w:val="none" w:sz="0" w:space="0" w:color="auto"/>
        <w:bottom w:val="none" w:sz="0" w:space="0" w:color="auto"/>
        <w:right w:val="none" w:sz="0" w:space="0" w:color="auto"/>
      </w:divBdr>
    </w:div>
    <w:div w:id="352266577">
      <w:bodyDiv w:val="1"/>
      <w:marLeft w:val="0"/>
      <w:marRight w:val="0"/>
      <w:marTop w:val="0"/>
      <w:marBottom w:val="0"/>
      <w:divBdr>
        <w:top w:val="none" w:sz="0" w:space="0" w:color="auto"/>
        <w:left w:val="none" w:sz="0" w:space="0" w:color="auto"/>
        <w:bottom w:val="none" w:sz="0" w:space="0" w:color="auto"/>
        <w:right w:val="none" w:sz="0" w:space="0" w:color="auto"/>
      </w:divBdr>
    </w:div>
    <w:div w:id="380712396">
      <w:bodyDiv w:val="1"/>
      <w:marLeft w:val="0"/>
      <w:marRight w:val="0"/>
      <w:marTop w:val="0"/>
      <w:marBottom w:val="0"/>
      <w:divBdr>
        <w:top w:val="none" w:sz="0" w:space="0" w:color="auto"/>
        <w:left w:val="none" w:sz="0" w:space="0" w:color="auto"/>
        <w:bottom w:val="none" w:sz="0" w:space="0" w:color="auto"/>
        <w:right w:val="none" w:sz="0" w:space="0" w:color="auto"/>
      </w:divBdr>
    </w:div>
    <w:div w:id="455417562">
      <w:bodyDiv w:val="1"/>
      <w:marLeft w:val="0"/>
      <w:marRight w:val="0"/>
      <w:marTop w:val="0"/>
      <w:marBottom w:val="0"/>
      <w:divBdr>
        <w:top w:val="none" w:sz="0" w:space="0" w:color="auto"/>
        <w:left w:val="none" w:sz="0" w:space="0" w:color="auto"/>
        <w:bottom w:val="none" w:sz="0" w:space="0" w:color="auto"/>
        <w:right w:val="none" w:sz="0" w:space="0" w:color="auto"/>
      </w:divBdr>
    </w:div>
    <w:div w:id="468595040">
      <w:bodyDiv w:val="1"/>
      <w:marLeft w:val="0"/>
      <w:marRight w:val="0"/>
      <w:marTop w:val="0"/>
      <w:marBottom w:val="0"/>
      <w:divBdr>
        <w:top w:val="none" w:sz="0" w:space="0" w:color="auto"/>
        <w:left w:val="none" w:sz="0" w:space="0" w:color="auto"/>
        <w:bottom w:val="none" w:sz="0" w:space="0" w:color="auto"/>
        <w:right w:val="none" w:sz="0" w:space="0" w:color="auto"/>
      </w:divBdr>
    </w:div>
    <w:div w:id="492990269">
      <w:bodyDiv w:val="1"/>
      <w:marLeft w:val="0"/>
      <w:marRight w:val="0"/>
      <w:marTop w:val="0"/>
      <w:marBottom w:val="0"/>
      <w:divBdr>
        <w:top w:val="none" w:sz="0" w:space="0" w:color="auto"/>
        <w:left w:val="none" w:sz="0" w:space="0" w:color="auto"/>
        <w:bottom w:val="none" w:sz="0" w:space="0" w:color="auto"/>
        <w:right w:val="none" w:sz="0" w:space="0" w:color="auto"/>
      </w:divBdr>
    </w:div>
    <w:div w:id="504593665">
      <w:bodyDiv w:val="1"/>
      <w:marLeft w:val="0"/>
      <w:marRight w:val="0"/>
      <w:marTop w:val="0"/>
      <w:marBottom w:val="0"/>
      <w:divBdr>
        <w:top w:val="none" w:sz="0" w:space="0" w:color="auto"/>
        <w:left w:val="none" w:sz="0" w:space="0" w:color="auto"/>
        <w:bottom w:val="none" w:sz="0" w:space="0" w:color="auto"/>
        <w:right w:val="none" w:sz="0" w:space="0" w:color="auto"/>
      </w:divBdr>
    </w:div>
    <w:div w:id="530648625">
      <w:bodyDiv w:val="1"/>
      <w:marLeft w:val="0"/>
      <w:marRight w:val="0"/>
      <w:marTop w:val="0"/>
      <w:marBottom w:val="0"/>
      <w:divBdr>
        <w:top w:val="none" w:sz="0" w:space="0" w:color="auto"/>
        <w:left w:val="none" w:sz="0" w:space="0" w:color="auto"/>
        <w:bottom w:val="none" w:sz="0" w:space="0" w:color="auto"/>
        <w:right w:val="none" w:sz="0" w:space="0" w:color="auto"/>
      </w:divBdr>
    </w:div>
    <w:div w:id="587663434">
      <w:bodyDiv w:val="1"/>
      <w:marLeft w:val="0"/>
      <w:marRight w:val="0"/>
      <w:marTop w:val="0"/>
      <w:marBottom w:val="0"/>
      <w:divBdr>
        <w:top w:val="none" w:sz="0" w:space="0" w:color="auto"/>
        <w:left w:val="none" w:sz="0" w:space="0" w:color="auto"/>
        <w:bottom w:val="none" w:sz="0" w:space="0" w:color="auto"/>
        <w:right w:val="none" w:sz="0" w:space="0" w:color="auto"/>
      </w:divBdr>
    </w:div>
    <w:div w:id="648629368">
      <w:bodyDiv w:val="1"/>
      <w:marLeft w:val="0"/>
      <w:marRight w:val="0"/>
      <w:marTop w:val="0"/>
      <w:marBottom w:val="0"/>
      <w:divBdr>
        <w:top w:val="none" w:sz="0" w:space="0" w:color="auto"/>
        <w:left w:val="none" w:sz="0" w:space="0" w:color="auto"/>
        <w:bottom w:val="none" w:sz="0" w:space="0" w:color="auto"/>
        <w:right w:val="none" w:sz="0" w:space="0" w:color="auto"/>
      </w:divBdr>
    </w:div>
    <w:div w:id="661739948">
      <w:bodyDiv w:val="1"/>
      <w:marLeft w:val="0"/>
      <w:marRight w:val="0"/>
      <w:marTop w:val="0"/>
      <w:marBottom w:val="0"/>
      <w:divBdr>
        <w:top w:val="none" w:sz="0" w:space="0" w:color="auto"/>
        <w:left w:val="none" w:sz="0" w:space="0" w:color="auto"/>
        <w:bottom w:val="none" w:sz="0" w:space="0" w:color="auto"/>
        <w:right w:val="none" w:sz="0" w:space="0" w:color="auto"/>
      </w:divBdr>
    </w:div>
    <w:div w:id="743722562">
      <w:bodyDiv w:val="1"/>
      <w:marLeft w:val="0"/>
      <w:marRight w:val="0"/>
      <w:marTop w:val="0"/>
      <w:marBottom w:val="0"/>
      <w:divBdr>
        <w:top w:val="none" w:sz="0" w:space="0" w:color="auto"/>
        <w:left w:val="none" w:sz="0" w:space="0" w:color="auto"/>
        <w:bottom w:val="none" w:sz="0" w:space="0" w:color="auto"/>
        <w:right w:val="none" w:sz="0" w:space="0" w:color="auto"/>
      </w:divBdr>
    </w:div>
    <w:div w:id="750467908">
      <w:bodyDiv w:val="1"/>
      <w:marLeft w:val="0"/>
      <w:marRight w:val="0"/>
      <w:marTop w:val="0"/>
      <w:marBottom w:val="0"/>
      <w:divBdr>
        <w:top w:val="none" w:sz="0" w:space="0" w:color="auto"/>
        <w:left w:val="none" w:sz="0" w:space="0" w:color="auto"/>
        <w:bottom w:val="none" w:sz="0" w:space="0" w:color="auto"/>
        <w:right w:val="none" w:sz="0" w:space="0" w:color="auto"/>
      </w:divBdr>
    </w:div>
    <w:div w:id="810172116">
      <w:bodyDiv w:val="1"/>
      <w:marLeft w:val="0"/>
      <w:marRight w:val="0"/>
      <w:marTop w:val="0"/>
      <w:marBottom w:val="0"/>
      <w:divBdr>
        <w:top w:val="none" w:sz="0" w:space="0" w:color="auto"/>
        <w:left w:val="none" w:sz="0" w:space="0" w:color="auto"/>
        <w:bottom w:val="none" w:sz="0" w:space="0" w:color="auto"/>
        <w:right w:val="none" w:sz="0" w:space="0" w:color="auto"/>
      </w:divBdr>
    </w:div>
    <w:div w:id="824708593">
      <w:bodyDiv w:val="1"/>
      <w:marLeft w:val="0"/>
      <w:marRight w:val="0"/>
      <w:marTop w:val="0"/>
      <w:marBottom w:val="0"/>
      <w:divBdr>
        <w:top w:val="none" w:sz="0" w:space="0" w:color="auto"/>
        <w:left w:val="none" w:sz="0" w:space="0" w:color="auto"/>
        <w:bottom w:val="none" w:sz="0" w:space="0" w:color="auto"/>
        <w:right w:val="none" w:sz="0" w:space="0" w:color="auto"/>
      </w:divBdr>
    </w:div>
    <w:div w:id="825900324">
      <w:bodyDiv w:val="1"/>
      <w:marLeft w:val="0"/>
      <w:marRight w:val="0"/>
      <w:marTop w:val="0"/>
      <w:marBottom w:val="0"/>
      <w:divBdr>
        <w:top w:val="none" w:sz="0" w:space="0" w:color="auto"/>
        <w:left w:val="none" w:sz="0" w:space="0" w:color="auto"/>
        <w:bottom w:val="none" w:sz="0" w:space="0" w:color="auto"/>
        <w:right w:val="none" w:sz="0" w:space="0" w:color="auto"/>
      </w:divBdr>
    </w:div>
    <w:div w:id="864296575">
      <w:bodyDiv w:val="1"/>
      <w:marLeft w:val="0"/>
      <w:marRight w:val="0"/>
      <w:marTop w:val="0"/>
      <w:marBottom w:val="0"/>
      <w:divBdr>
        <w:top w:val="none" w:sz="0" w:space="0" w:color="auto"/>
        <w:left w:val="none" w:sz="0" w:space="0" w:color="auto"/>
        <w:bottom w:val="none" w:sz="0" w:space="0" w:color="auto"/>
        <w:right w:val="none" w:sz="0" w:space="0" w:color="auto"/>
      </w:divBdr>
    </w:div>
    <w:div w:id="933828788">
      <w:bodyDiv w:val="1"/>
      <w:marLeft w:val="0"/>
      <w:marRight w:val="0"/>
      <w:marTop w:val="0"/>
      <w:marBottom w:val="0"/>
      <w:divBdr>
        <w:top w:val="none" w:sz="0" w:space="0" w:color="auto"/>
        <w:left w:val="none" w:sz="0" w:space="0" w:color="auto"/>
        <w:bottom w:val="none" w:sz="0" w:space="0" w:color="auto"/>
        <w:right w:val="none" w:sz="0" w:space="0" w:color="auto"/>
      </w:divBdr>
    </w:div>
    <w:div w:id="958804013">
      <w:bodyDiv w:val="1"/>
      <w:marLeft w:val="0"/>
      <w:marRight w:val="0"/>
      <w:marTop w:val="0"/>
      <w:marBottom w:val="0"/>
      <w:divBdr>
        <w:top w:val="none" w:sz="0" w:space="0" w:color="auto"/>
        <w:left w:val="none" w:sz="0" w:space="0" w:color="auto"/>
        <w:bottom w:val="none" w:sz="0" w:space="0" w:color="auto"/>
        <w:right w:val="none" w:sz="0" w:space="0" w:color="auto"/>
      </w:divBdr>
    </w:div>
    <w:div w:id="960384591">
      <w:bodyDiv w:val="1"/>
      <w:marLeft w:val="0"/>
      <w:marRight w:val="0"/>
      <w:marTop w:val="0"/>
      <w:marBottom w:val="0"/>
      <w:divBdr>
        <w:top w:val="none" w:sz="0" w:space="0" w:color="auto"/>
        <w:left w:val="none" w:sz="0" w:space="0" w:color="auto"/>
        <w:bottom w:val="none" w:sz="0" w:space="0" w:color="auto"/>
        <w:right w:val="none" w:sz="0" w:space="0" w:color="auto"/>
      </w:divBdr>
    </w:div>
    <w:div w:id="966207231">
      <w:bodyDiv w:val="1"/>
      <w:marLeft w:val="0"/>
      <w:marRight w:val="0"/>
      <w:marTop w:val="0"/>
      <w:marBottom w:val="0"/>
      <w:divBdr>
        <w:top w:val="none" w:sz="0" w:space="0" w:color="auto"/>
        <w:left w:val="none" w:sz="0" w:space="0" w:color="auto"/>
        <w:bottom w:val="none" w:sz="0" w:space="0" w:color="auto"/>
        <w:right w:val="none" w:sz="0" w:space="0" w:color="auto"/>
      </w:divBdr>
      <w:divsChild>
        <w:div w:id="37171891">
          <w:marLeft w:val="0"/>
          <w:marRight w:val="0"/>
          <w:marTop w:val="0"/>
          <w:marBottom w:val="0"/>
          <w:divBdr>
            <w:top w:val="none" w:sz="0" w:space="0" w:color="auto"/>
            <w:left w:val="none" w:sz="0" w:space="0" w:color="auto"/>
            <w:bottom w:val="none" w:sz="0" w:space="0" w:color="auto"/>
            <w:right w:val="none" w:sz="0" w:space="0" w:color="auto"/>
          </w:divBdr>
          <w:divsChild>
            <w:div w:id="1343702595">
              <w:marLeft w:val="0"/>
              <w:marRight w:val="0"/>
              <w:marTop w:val="0"/>
              <w:marBottom w:val="0"/>
              <w:divBdr>
                <w:top w:val="none" w:sz="0" w:space="0" w:color="auto"/>
                <w:left w:val="none" w:sz="0" w:space="0" w:color="auto"/>
                <w:bottom w:val="none" w:sz="0" w:space="0" w:color="auto"/>
                <w:right w:val="none" w:sz="0" w:space="0" w:color="auto"/>
              </w:divBdr>
              <w:divsChild>
                <w:div w:id="2042782779">
                  <w:marLeft w:val="0"/>
                  <w:marRight w:val="0"/>
                  <w:marTop w:val="0"/>
                  <w:marBottom w:val="0"/>
                  <w:divBdr>
                    <w:top w:val="none" w:sz="0" w:space="0" w:color="auto"/>
                    <w:left w:val="none" w:sz="0" w:space="0" w:color="auto"/>
                    <w:bottom w:val="none" w:sz="0" w:space="0" w:color="auto"/>
                    <w:right w:val="none" w:sz="0" w:space="0" w:color="auto"/>
                  </w:divBdr>
                  <w:divsChild>
                    <w:div w:id="5622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68838">
          <w:marLeft w:val="0"/>
          <w:marRight w:val="0"/>
          <w:marTop w:val="0"/>
          <w:marBottom w:val="0"/>
          <w:divBdr>
            <w:top w:val="none" w:sz="0" w:space="0" w:color="auto"/>
            <w:left w:val="none" w:sz="0" w:space="0" w:color="auto"/>
            <w:bottom w:val="none" w:sz="0" w:space="0" w:color="auto"/>
            <w:right w:val="none" w:sz="0" w:space="0" w:color="auto"/>
          </w:divBdr>
          <w:divsChild>
            <w:div w:id="475336984">
              <w:marLeft w:val="0"/>
              <w:marRight w:val="0"/>
              <w:marTop w:val="0"/>
              <w:marBottom w:val="0"/>
              <w:divBdr>
                <w:top w:val="none" w:sz="0" w:space="0" w:color="auto"/>
                <w:left w:val="none" w:sz="0" w:space="0" w:color="auto"/>
                <w:bottom w:val="none" w:sz="0" w:space="0" w:color="auto"/>
                <w:right w:val="none" w:sz="0" w:space="0" w:color="auto"/>
              </w:divBdr>
              <w:divsChild>
                <w:div w:id="991059401">
                  <w:marLeft w:val="0"/>
                  <w:marRight w:val="0"/>
                  <w:marTop w:val="0"/>
                  <w:marBottom w:val="0"/>
                  <w:divBdr>
                    <w:top w:val="none" w:sz="0" w:space="0" w:color="auto"/>
                    <w:left w:val="none" w:sz="0" w:space="0" w:color="auto"/>
                    <w:bottom w:val="none" w:sz="0" w:space="0" w:color="auto"/>
                    <w:right w:val="none" w:sz="0" w:space="0" w:color="auto"/>
                  </w:divBdr>
                  <w:divsChild>
                    <w:div w:id="1804931028">
                      <w:marLeft w:val="0"/>
                      <w:marRight w:val="0"/>
                      <w:marTop w:val="0"/>
                      <w:marBottom w:val="0"/>
                      <w:divBdr>
                        <w:top w:val="none" w:sz="0" w:space="0" w:color="auto"/>
                        <w:left w:val="none" w:sz="0" w:space="0" w:color="auto"/>
                        <w:bottom w:val="none" w:sz="0" w:space="0" w:color="auto"/>
                        <w:right w:val="none" w:sz="0" w:space="0" w:color="auto"/>
                      </w:divBdr>
                      <w:divsChild>
                        <w:div w:id="1703819244">
                          <w:marLeft w:val="0"/>
                          <w:marRight w:val="0"/>
                          <w:marTop w:val="0"/>
                          <w:marBottom w:val="0"/>
                          <w:divBdr>
                            <w:top w:val="none" w:sz="0" w:space="0" w:color="auto"/>
                            <w:left w:val="none" w:sz="0" w:space="0" w:color="auto"/>
                            <w:bottom w:val="none" w:sz="0" w:space="0" w:color="auto"/>
                            <w:right w:val="none" w:sz="0" w:space="0" w:color="auto"/>
                          </w:divBdr>
                          <w:divsChild>
                            <w:div w:id="4936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2179">
      <w:bodyDiv w:val="1"/>
      <w:marLeft w:val="0"/>
      <w:marRight w:val="0"/>
      <w:marTop w:val="0"/>
      <w:marBottom w:val="0"/>
      <w:divBdr>
        <w:top w:val="none" w:sz="0" w:space="0" w:color="auto"/>
        <w:left w:val="none" w:sz="0" w:space="0" w:color="auto"/>
        <w:bottom w:val="none" w:sz="0" w:space="0" w:color="auto"/>
        <w:right w:val="none" w:sz="0" w:space="0" w:color="auto"/>
      </w:divBdr>
    </w:div>
    <w:div w:id="1055394493">
      <w:bodyDiv w:val="1"/>
      <w:marLeft w:val="0"/>
      <w:marRight w:val="0"/>
      <w:marTop w:val="0"/>
      <w:marBottom w:val="0"/>
      <w:divBdr>
        <w:top w:val="none" w:sz="0" w:space="0" w:color="auto"/>
        <w:left w:val="none" w:sz="0" w:space="0" w:color="auto"/>
        <w:bottom w:val="none" w:sz="0" w:space="0" w:color="auto"/>
        <w:right w:val="none" w:sz="0" w:space="0" w:color="auto"/>
      </w:divBdr>
    </w:div>
    <w:div w:id="1057893542">
      <w:bodyDiv w:val="1"/>
      <w:marLeft w:val="0"/>
      <w:marRight w:val="0"/>
      <w:marTop w:val="0"/>
      <w:marBottom w:val="0"/>
      <w:divBdr>
        <w:top w:val="none" w:sz="0" w:space="0" w:color="auto"/>
        <w:left w:val="none" w:sz="0" w:space="0" w:color="auto"/>
        <w:bottom w:val="none" w:sz="0" w:space="0" w:color="auto"/>
        <w:right w:val="none" w:sz="0" w:space="0" w:color="auto"/>
      </w:divBdr>
    </w:div>
    <w:div w:id="1089079845">
      <w:bodyDiv w:val="1"/>
      <w:marLeft w:val="0"/>
      <w:marRight w:val="0"/>
      <w:marTop w:val="0"/>
      <w:marBottom w:val="0"/>
      <w:divBdr>
        <w:top w:val="none" w:sz="0" w:space="0" w:color="auto"/>
        <w:left w:val="none" w:sz="0" w:space="0" w:color="auto"/>
        <w:bottom w:val="none" w:sz="0" w:space="0" w:color="auto"/>
        <w:right w:val="none" w:sz="0" w:space="0" w:color="auto"/>
      </w:divBdr>
      <w:divsChild>
        <w:div w:id="1303004783">
          <w:marLeft w:val="0"/>
          <w:marRight w:val="0"/>
          <w:marTop w:val="0"/>
          <w:marBottom w:val="0"/>
          <w:divBdr>
            <w:top w:val="none" w:sz="0" w:space="0" w:color="auto"/>
            <w:left w:val="none" w:sz="0" w:space="0" w:color="auto"/>
            <w:bottom w:val="none" w:sz="0" w:space="0" w:color="auto"/>
            <w:right w:val="none" w:sz="0" w:space="0" w:color="auto"/>
          </w:divBdr>
          <w:divsChild>
            <w:div w:id="457725983">
              <w:marLeft w:val="0"/>
              <w:marRight w:val="0"/>
              <w:marTop w:val="0"/>
              <w:marBottom w:val="0"/>
              <w:divBdr>
                <w:top w:val="none" w:sz="0" w:space="0" w:color="auto"/>
                <w:left w:val="none" w:sz="0" w:space="0" w:color="auto"/>
                <w:bottom w:val="none" w:sz="0" w:space="0" w:color="auto"/>
                <w:right w:val="none" w:sz="0" w:space="0" w:color="auto"/>
              </w:divBdr>
              <w:divsChild>
                <w:div w:id="356396259">
                  <w:marLeft w:val="0"/>
                  <w:marRight w:val="0"/>
                  <w:marTop w:val="0"/>
                  <w:marBottom w:val="0"/>
                  <w:divBdr>
                    <w:top w:val="none" w:sz="0" w:space="0" w:color="auto"/>
                    <w:left w:val="none" w:sz="0" w:space="0" w:color="auto"/>
                    <w:bottom w:val="none" w:sz="0" w:space="0" w:color="auto"/>
                    <w:right w:val="none" w:sz="0" w:space="0" w:color="auto"/>
                  </w:divBdr>
                  <w:divsChild>
                    <w:div w:id="2476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89128">
          <w:marLeft w:val="0"/>
          <w:marRight w:val="0"/>
          <w:marTop w:val="0"/>
          <w:marBottom w:val="0"/>
          <w:divBdr>
            <w:top w:val="none" w:sz="0" w:space="0" w:color="auto"/>
            <w:left w:val="none" w:sz="0" w:space="0" w:color="auto"/>
            <w:bottom w:val="none" w:sz="0" w:space="0" w:color="auto"/>
            <w:right w:val="none" w:sz="0" w:space="0" w:color="auto"/>
          </w:divBdr>
          <w:divsChild>
            <w:div w:id="1386830317">
              <w:marLeft w:val="0"/>
              <w:marRight w:val="0"/>
              <w:marTop w:val="0"/>
              <w:marBottom w:val="0"/>
              <w:divBdr>
                <w:top w:val="none" w:sz="0" w:space="0" w:color="auto"/>
                <w:left w:val="none" w:sz="0" w:space="0" w:color="auto"/>
                <w:bottom w:val="none" w:sz="0" w:space="0" w:color="auto"/>
                <w:right w:val="none" w:sz="0" w:space="0" w:color="auto"/>
              </w:divBdr>
              <w:divsChild>
                <w:div w:id="733628089">
                  <w:marLeft w:val="0"/>
                  <w:marRight w:val="0"/>
                  <w:marTop w:val="0"/>
                  <w:marBottom w:val="0"/>
                  <w:divBdr>
                    <w:top w:val="none" w:sz="0" w:space="0" w:color="auto"/>
                    <w:left w:val="none" w:sz="0" w:space="0" w:color="auto"/>
                    <w:bottom w:val="none" w:sz="0" w:space="0" w:color="auto"/>
                    <w:right w:val="none" w:sz="0" w:space="0" w:color="auto"/>
                  </w:divBdr>
                  <w:divsChild>
                    <w:div w:id="752288252">
                      <w:marLeft w:val="0"/>
                      <w:marRight w:val="0"/>
                      <w:marTop w:val="0"/>
                      <w:marBottom w:val="0"/>
                      <w:divBdr>
                        <w:top w:val="none" w:sz="0" w:space="0" w:color="auto"/>
                        <w:left w:val="none" w:sz="0" w:space="0" w:color="auto"/>
                        <w:bottom w:val="none" w:sz="0" w:space="0" w:color="auto"/>
                        <w:right w:val="none" w:sz="0" w:space="0" w:color="auto"/>
                      </w:divBdr>
                      <w:divsChild>
                        <w:div w:id="697657636">
                          <w:marLeft w:val="0"/>
                          <w:marRight w:val="0"/>
                          <w:marTop w:val="0"/>
                          <w:marBottom w:val="0"/>
                          <w:divBdr>
                            <w:top w:val="none" w:sz="0" w:space="0" w:color="auto"/>
                            <w:left w:val="none" w:sz="0" w:space="0" w:color="auto"/>
                            <w:bottom w:val="none" w:sz="0" w:space="0" w:color="auto"/>
                            <w:right w:val="none" w:sz="0" w:space="0" w:color="auto"/>
                          </w:divBdr>
                          <w:divsChild>
                            <w:div w:id="10654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103602">
      <w:bodyDiv w:val="1"/>
      <w:marLeft w:val="0"/>
      <w:marRight w:val="0"/>
      <w:marTop w:val="0"/>
      <w:marBottom w:val="0"/>
      <w:divBdr>
        <w:top w:val="none" w:sz="0" w:space="0" w:color="auto"/>
        <w:left w:val="none" w:sz="0" w:space="0" w:color="auto"/>
        <w:bottom w:val="none" w:sz="0" w:space="0" w:color="auto"/>
        <w:right w:val="none" w:sz="0" w:space="0" w:color="auto"/>
      </w:divBdr>
    </w:div>
    <w:div w:id="1134447027">
      <w:bodyDiv w:val="1"/>
      <w:marLeft w:val="0"/>
      <w:marRight w:val="0"/>
      <w:marTop w:val="0"/>
      <w:marBottom w:val="0"/>
      <w:divBdr>
        <w:top w:val="none" w:sz="0" w:space="0" w:color="auto"/>
        <w:left w:val="none" w:sz="0" w:space="0" w:color="auto"/>
        <w:bottom w:val="none" w:sz="0" w:space="0" w:color="auto"/>
        <w:right w:val="none" w:sz="0" w:space="0" w:color="auto"/>
      </w:divBdr>
    </w:div>
    <w:div w:id="1145664982">
      <w:bodyDiv w:val="1"/>
      <w:marLeft w:val="0"/>
      <w:marRight w:val="0"/>
      <w:marTop w:val="0"/>
      <w:marBottom w:val="0"/>
      <w:divBdr>
        <w:top w:val="none" w:sz="0" w:space="0" w:color="auto"/>
        <w:left w:val="none" w:sz="0" w:space="0" w:color="auto"/>
        <w:bottom w:val="none" w:sz="0" w:space="0" w:color="auto"/>
        <w:right w:val="none" w:sz="0" w:space="0" w:color="auto"/>
      </w:divBdr>
    </w:div>
    <w:div w:id="1159927648">
      <w:bodyDiv w:val="1"/>
      <w:marLeft w:val="0"/>
      <w:marRight w:val="0"/>
      <w:marTop w:val="0"/>
      <w:marBottom w:val="0"/>
      <w:divBdr>
        <w:top w:val="none" w:sz="0" w:space="0" w:color="auto"/>
        <w:left w:val="none" w:sz="0" w:space="0" w:color="auto"/>
        <w:bottom w:val="none" w:sz="0" w:space="0" w:color="auto"/>
        <w:right w:val="none" w:sz="0" w:space="0" w:color="auto"/>
      </w:divBdr>
    </w:div>
    <w:div w:id="1185898609">
      <w:bodyDiv w:val="1"/>
      <w:marLeft w:val="0"/>
      <w:marRight w:val="0"/>
      <w:marTop w:val="0"/>
      <w:marBottom w:val="0"/>
      <w:divBdr>
        <w:top w:val="none" w:sz="0" w:space="0" w:color="auto"/>
        <w:left w:val="none" w:sz="0" w:space="0" w:color="auto"/>
        <w:bottom w:val="none" w:sz="0" w:space="0" w:color="auto"/>
        <w:right w:val="none" w:sz="0" w:space="0" w:color="auto"/>
      </w:divBdr>
    </w:div>
    <w:div w:id="1190802022">
      <w:bodyDiv w:val="1"/>
      <w:marLeft w:val="0"/>
      <w:marRight w:val="0"/>
      <w:marTop w:val="0"/>
      <w:marBottom w:val="0"/>
      <w:divBdr>
        <w:top w:val="none" w:sz="0" w:space="0" w:color="auto"/>
        <w:left w:val="none" w:sz="0" w:space="0" w:color="auto"/>
        <w:bottom w:val="none" w:sz="0" w:space="0" w:color="auto"/>
        <w:right w:val="none" w:sz="0" w:space="0" w:color="auto"/>
      </w:divBdr>
    </w:div>
    <w:div w:id="1266234204">
      <w:bodyDiv w:val="1"/>
      <w:marLeft w:val="0"/>
      <w:marRight w:val="0"/>
      <w:marTop w:val="0"/>
      <w:marBottom w:val="0"/>
      <w:divBdr>
        <w:top w:val="none" w:sz="0" w:space="0" w:color="auto"/>
        <w:left w:val="none" w:sz="0" w:space="0" w:color="auto"/>
        <w:bottom w:val="none" w:sz="0" w:space="0" w:color="auto"/>
        <w:right w:val="none" w:sz="0" w:space="0" w:color="auto"/>
      </w:divBdr>
    </w:div>
    <w:div w:id="1323199878">
      <w:bodyDiv w:val="1"/>
      <w:marLeft w:val="0"/>
      <w:marRight w:val="0"/>
      <w:marTop w:val="0"/>
      <w:marBottom w:val="0"/>
      <w:divBdr>
        <w:top w:val="none" w:sz="0" w:space="0" w:color="auto"/>
        <w:left w:val="none" w:sz="0" w:space="0" w:color="auto"/>
        <w:bottom w:val="none" w:sz="0" w:space="0" w:color="auto"/>
        <w:right w:val="none" w:sz="0" w:space="0" w:color="auto"/>
      </w:divBdr>
    </w:div>
    <w:div w:id="1330131794">
      <w:bodyDiv w:val="1"/>
      <w:marLeft w:val="0"/>
      <w:marRight w:val="0"/>
      <w:marTop w:val="0"/>
      <w:marBottom w:val="0"/>
      <w:divBdr>
        <w:top w:val="none" w:sz="0" w:space="0" w:color="auto"/>
        <w:left w:val="none" w:sz="0" w:space="0" w:color="auto"/>
        <w:bottom w:val="none" w:sz="0" w:space="0" w:color="auto"/>
        <w:right w:val="none" w:sz="0" w:space="0" w:color="auto"/>
      </w:divBdr>
      <w:divsChild>
        <w:div w:id="1295912586">
          <w:marLeft w:val="0"/>
          <w:marRight w:val="0"/>
          <w:marTop w:val="0"/>
          <w:marBottom w:val="0"/>
          <w:divBdr>
            <w:top w:val="none" w:sz="0" w:space="0" w:color="auto"/>
            <w:left w:val="none" w:sz="0" w:space="0" w:color="auto"/>
            <w:bottom w:val="none" w:sz="0" w:space="0" w:color="auto"/>
            <w:right w:val="none" w:sz="0" w:space="0" w:color="auto"/>
          </w:divBdr>
          <w:divsChild>
            <w:div w:id="762721709">
              <w:marLeft w:val="60"/>
              <w:marRight w:val="0"/>
              <w:marTop w:val="0"/>
              <w:marBottom w:val="0"/>
              <w:divBdr>
                <w:top w:val="none" w:sz="0" w:space="0" w:color="auto"/>
                <w:left w:val="none" w:sz="0" w:space="0" w:color="auto"/>
                <w:bottom w:val="none" w:sz="0" w:space="0" w:color="auto"/>
                <w:right w:val="none" w:sz="0" w:space="0" w:color="auto"/>
              </w:divBdr>
              <w:divsChild>
                <w:div w:id="15739971">
                  <w:marLeft w:val="0"/>
                  <w:marRight w:val="0"/>
                  <w:marTop w:val="0"/>
                  <w:marBottom w:val="0"/>
                  <w:divBdr>
                    <w:top w:val="none" w:sz="0" w:space="0" w:color="auto"/>
                    <w:left w:val="none" w:sz="0" w:space="0" w:color="auto"/>
                    <w:bottom w:val="none" w:sz="0" w:space="0" w:color="auto"/>
                    <w:right w:val="none" w:sz="0" w:space="0" w:color="auto"/>
                  </w:divBdr>
                  <w:divsChild>
                    <w:div w:id="670641625">
                      <w:marLeft w:val="0"/>
                      <w:marRight w:val="0"/>
                      <w:marTop w:val="0"/>
                      <w:marBottom w:val="120"/>
                      <w:divBdr>
                        <w:top w:val="single" w:sz="6" w:space="0" w:color="F5F5F5"/>
                        <w:left w:val="single" w:sz="6" w:space="0" w:color="F5F5F5"/>
                        <w:bottom w:val="single" w:sz="6" w:space="0" w:color="F5F5F5"/>
                        <w:right w:val="single" w:sz="6" w:space="0" w:color="F5F5F5"/>
                      </w:divBdr>
                      <w:divsChild>
                        <w:div w:id="1705980229">
                          <w:marLeft w:val="0"/>
                          <w:marRight w:val="0"/>
                          <w:marTop w:val="0"/>
                          <w:marBottom w:val="0"/>
                          <w:divBdr>
                            <w:top w:val="none" w:sz="0" w:space="0" w:color="auto"/>
                            <w:left w:val="none" w:sz="0" w:space="0" w:color="auto"/>
                            <w:bottom w:val="none" w:sz="0" w:space="0" w:color="auto"/>
                            <w:right w:val="none" w:sz="0" w:space="0" w:color="auto"/>
                          </w:divBdr>
                          <w:divsChild>
                            <w:div w:id="11729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441953">
      <w:bodyDiv w:val="1"/>
      <w:marLeft w:val="0"/>
      <w:marRight w:val="0"/>
      <w:marTop w:val="0"/>
      <w:marBottom w:val="0"/>
      <w:divBdr>
        <w:top w:val="none" w:sz="0" w:space="0" w:color="auto"/>
        <w:left w:val="none" w:sz="0" w:space="0" w:color="auto"/>
        <w:bottom w:val="none" w:sz="0" w:space="0" w:color="auto"/>
        <w:right w:val="none" w:sz="0" w:space="0" w:color="auto"/>
      </w:divBdr>
    </w:div>
    <w:div w:id="1354116000">
      <w:bodyDiv w:val="1"/>
      <w:marLeft w:val="0"/>
      <w:marRight w:val="0"/>
      <w:marTop w:val="0"/>
      <w:marBottom w:val="0"/>
      <w:divBdr>
        <w:top w:val="none" w:sz="0" w:space="0" w:color="auto"/>
        <w:left w:val="none" w:sz="0" w:space="0" w:color="auto"/>
        <w:bottom w:val="none" w:sz="0" w:space="0" w:color="auto"/>
        <w:right w:val="none" w:sz="0" w:space="0" w:color="auto"/>
      </w:divBdr>
    </w:div>
    <w:div w:id="1378041860">
      <w:bodyDiv w:val="1"/>
      <w:marLeft w:val="0"/>
      <w:marRight w:val="0"/>
      <w:marTop w:val="0"/>
      <w:marBottom w:val="0"/>
      <w:divBdr>
        <w:top w:val="none" w:sz="0" w:space="0" w:color="auto"/>
        <w:left w:val="none" w:sz="0" w:space="0" w:color="auto"/>
        <w:bottom w:val="none" w:sz="0" w:space="0" w:color="auto"/>
        <w:right w:val="none" w:sz="0" w:space="0" w:color="auto"/>
      </w:divBdr>
    </w:div>
    <w:div w:id="1382901139">
      <w:bodyDiv w:val="1"/>
      <w:marLeft w:val="0"/>
      <w:marRight w:val="0"/>
      <w:marTop w:val="0"/>
      <w:marBottom w:val="0"/>
      <w:divBdr>
        <w:top w:val="none" w:sz="0" w:space="0" w:color="auto"/>
        <w:left w:val="none" w:sz="0" w:space="0" w:color="auto"/>
        <w:bottom w:val="none" w:sz="0" w:space="0" w:color="auto"/>
        <w:right w:val="none" w:sz="0" w:space="0" w:color="auto"/>
      </w:divBdr>
    </w:div>
    <w:div w:id="1398746250">
      <w:bodyDiv w:val="1"/>
      <w:marLeft w:val="0"/>
      <w:marRight w:val="0"/>
      <w:marTop w:val="0"/>
      <w:marBottom w:val="0"/>
      <w:divBdr>
        <w:top w:val="none" w:sz="0" w:space="0" w:color="auto"/>
        <w:left w:val="none" w:sz="0" w:space="0" w:color="auto"/>
        <w:bottom w:val="none" w:sz="0" w:space="0" w:color="auto"/>
        <w:right w:val="none" w:sz="0" w:space="0" w:color="auto"/>
      </w:divBdr>
    </w:div>
    <w:div w:id="1458527302">
      <w:bodyDiv w:val="1"/>
      <w:marLeft w:val="0"/>
      <w:marRight w:val="0"/>
      <w:marTop w:val="0"/>
      <w:marBottom w:val="0"/>
      <w:divBdr>
        <w:top w:val="none" w:sz="0" w:space="0" w:color="auto"/>
        <w:left w:val="none" w:sz="0" w:space="0" w:color="auto"/>
        <w:bottom w:val="none" w:sz="0" w:space="0" w:color="auto"/>
        <w:right w:val="none" w:sz="0" w:space="0" w:color="auto"/>
      </w:divBdr>
    </w:div>
    <w:div w:id="1496412607">
      <w:bodyDiv w:val="1"/>
      <w:marLeft w:val="0"/>
      <w:marRight w:val="0"/>
      <w:marTop w:val="0"/>
      <w:marBottom w:val="0"/>
      <w:divBdr>
        <w:top w:val="none" w:sz="0" w:space="0" w:color="auto"/>
        <w:left w:val="none" w:sz="0" w:space="0" w:color="auto"/>
        <w:bottom w:val="none" w:sz="0" w:space="0" w:color="auto"/>
        <w:right w:val="none" w:sz="0" w:space="0" w:color="auto"/>
      </w:divBdr>
    </w:div>
    <w:div w:id="1646542208">
      <w:bodyDiv w:val="1"/>
      <w:marLeft w:val="0"/>
      <w:marRight w:val="0"/>
      <w:marTop w:val="0"/>
      <w:marBottom w:val="0"/>
      <w:divBdr>
        <w:top w:val="none" w:sz="0" w:space="0" w:color="auto"/>
        <w:left w:val="none" w:sz="0" w:space="0" w:color="auto"/>
        <w:bottom w:val="none" w:sz="0" w:space="0" w:color="auto"/>
        <w:right w:val="none" w:sz="0" w:space="0" w:color="auto"/>
      </w:divBdr>
    </w:div>
    <w:div w:id="1674138590">
      <w:bodyDiv w:val="1"/>
      <w:marLeft w:val="0"/>
      <w:marRight w:val="0"/>
      <w:marTop w:val="0"/>
      <w:marBottom w:val="0"/>
      <w:divBdr>
        <w:top w:val="none" w:sz="0" w:space="0" w:color="auto"/>
        <w:left w:val="none" w:sz="0" w:space="0" w:color="auto"/>
        <w:bottom w:val="none" w:sz="0" w:space="0" w:color="auto"/>
        <w:right w:val="none" w:sz="0" w:space="0" w:color="auto"/>
      </w:divBdr>
    </w:div>
    <w:div w:id="1676297372">
      <w:bodyDiv w:val="1"/>
      <w:marLeft w:val="0"/>
      <w:marRight w:val="0"/>
      <w:marTop w:val="0"/>
      <w:marBottom w:val="0"/>
      <w:divBdr>
        <w:top w:val="none" w:sz="0" w:space="0" w:color="auto"/>
        <w:left w:val="none" w:sz="0" w:space="0" w:color="auto"/>
        <w:bottom w:val="none" w:sz="0" w:space="0" w:color="auto"/>
        <w:right w:val="none" w:sz="0" w:space="0" w:color="auto"/>
      </w:divBdr>
    </w:div>
    <w:div w:id="1688754128">
      <w:bodyDiv w:val="1"/>
      <w:marLeft w:val="0"/>
      <w:marRight w:val="0"/>
      <w:marTop w:val="0"/>
      <w:marBottom w:val="0"/>
      <w:divBdr>
        <w:top w:val="none" w:sz="0" w:space="0" w:color="auto"/>
        <w:left w:val="none" w:sz="0" w:space="0" w:color="auto"/>
        <w:bottom w:val="none" w:sz="0" w:space="0" w:color="auto"/>
        <w:right w:val="none" w:sz="0" w:space="0" w:color="auto"/>
      </w:divBdr>
    </w:div>
    <w:div w:id="1739133910">
      <w:bodyDiv w:val="1"/>
      <w:marLeft w:val="0"/>
      <w:marRight w:val="0"/>
      <w:marTop w:val="0"/>
      <w:marBottom w:val="0"/>
      <w:divBdr>
        <w:top w:val="none" w:sz="0" w:space="0" w:color="auto"/>
        <w:left w:val="none" w:sz="0" w:space="0" w:color="auto"/>
        <w:bottom w:val="none" w:sz="0" w:space="0" w:color="auto"/>
        <w:right w:val="none" w:sz="0" w:space="0" w:color="auto"/>
      </w:divBdr>
    </w:div>
    <w:div w:id="1874881916">
      <w:bodyDiv w:val="1"/>
      <w:marLeft w:val="0"/>
      <w:marRight w:val="0"/>
      <w:marTop w:val="0"/>
      <w:marBottom w:val="0"/>
      <w:divBdr>
        <w:top w:val="none" w:sz="0" w:space="0" w:color="auto"/>
        <w:left w:val="none" w:sz="0" w:space="0" w:color="auto"/>
        <w:bottom w:val="none" w:sz="0" w:space="0" w:color="auto"/>
        <w:right w:val="none" w:sz="0" w:space="0" w:color="auto"/>
      </w:divBdr>
    </w:div>
    <w:div w:id="1911305217">
      <w:bodyDiv w:val="1"/>
      <w:marLeft w:val="0"/>
      <w:marRight w:val="0"/>
      <w:marTop w:val="0"/>
      <w:marBottom w:val="0"/>
      <w:divBdr>
        <w:top w:val="none" w:sz="0" w:space="0" w:color="auto"/>
        <w:left w:val="none" w:sz="0" w:space="0" w:color="auto"/>
        <w:bottom w:val="none" w:sz="0" w:space="0" w:color="auto"/>
        <w:right w:val="none" w:sz="0" w:space="0" w:color="auto"/>
      </w:divBdr>
    </w:div>
    <w:div w:id="1919366719">
      <w:bodyDiv w:val="1"/>
      <w:marLeft w:val="0"/>
      <w:marRight w:val="0"/>
      <w:marTop w:val="0"/>
      <w:marBottom w:val="0"/>
      <w:divBdr>
        <w:top w:val="none" w:sz="0" w:space="0" w:color="auto"/>
        <w:left w:val="none" w:sz="0" w:space="0" w:color="auto"/>
        <w:bottom w:val="none" w:sz="0" w:space="0" w:color="auto"/>
        <w:right w:val="none" w:sz="0" w:space="0" w:color="auto"/>
      </w:divBdr>
    </w:div>
    <w:div w:id="1937857011">
      <w:bodyDiv w:val="1"/>
      <w:marLeft w:val="0"/>
      <w:marRight w:val="0"/>
      <w:marTop w:val="0"/>
      <w:marBottom w:val="0"/>
      <w:divBdr>
        <w:top w:val="none" w:sz="0" w:space="0" w:color="auto"/>
        <w:left w:val="none" w:sz="0" w:space="0" w:color="auto"/>
        <w:bottom w:val="none" w:sz="0" w:space="0" w:color="auto"/>
        <w:right w:val="none" w:sz="0" w:space="0" w:color="auto"/>
      </w:divBdr>
    </w:div>
    <w:div w:id="1951815538">
      <w:bodyDiv w:val="1"/>
      <w:marLeft w:val="0"/>
      <w:marRight w:val="0"/>
      <w:marTop w:val="0"/>
      <w:marBottom w:val="0"/>
      <w:divBdr>
        <w:top w:val="none" w:sz="0" w:space="0" w:color="auto"/>
        <w:left w:val="none" w:sz="0" w:space="0" w:color="auto"/>
        <w:bottom w:val="none" w:sz="0" w:space="0" w:color="auto"/>
        <w:right w:val="none" w:sz="0" w:space="0" w:color="auto"/>
      </w:divBdr>
    </w:div>
    <w:div w:id="1991327567">
      <w:bodyDiv w:val="1"/>
      <w:marLeft w:val="0"/>
      <w:marRight w:val="0"/>
      <w:marTop w:val="0"/>
      <w:marBottom w:val="0"/>
      <w:divBdr>
        <w:top w:val="none" w:sz="0" w:space="0" w:color="auto"/>
        <w:left w:val="none" w:sz="0" w:space="0" w:color="auto"/>
        <w:bottom w:val="none" w:sz="0" w:space="0" w:color="auto"/>
        <w:right w:val="none" w:sz="0" w:space="0" w:color="auto"/>
      </w:divBdr>
    </w:div>
    <w:div w:id="1995377913">
      <w:bodyDiv w:val="1"/>
      <w:marLeft w:val="0"/>
      <w:marRight w:val="0"/>
      <w:marTop w:val="0"/>
      <w:marBottom w:val="0"/>
      <w:divBdr>
        <w:top w:val="none" w:sz="0" w:space="0" w:color="auto"/>
        <w:left w:val="none" w:sz="0" w:space="0" w:color="auto"/>
        <w:bottom w:val="none" w:sz="0" w:space="0" w:color="auto"/>
        <w:right w:val="none" w:sz="0" w:space="0" w:color="auto"/>
      </w:divBdr>
    </w:div>
    <w:div w:id="2035501325">
      <w:bodyDiv w:val="1"/>
      <w:marLeft w:val="0"/>
      <w:marRight w:val="0"/>
      <w:marTop w:val="0"/>
      <w:marBottom w:val="0"/>
      <w:divBdr>
        <w:top w:val="none" w:sz="0" w:space="0" w:color="auto"/>
        <w:left w:val="none" w:sz="0" w:space="0" w:color="auto"/>
        <w:bottom w:val="none" w:sz="0" w:space="0" w:color="auto"/>
        <w:right w:val="none" w:sz="0" w:space="0" w:color="auto"/>
      </w:divBdr>
    </w:div>
    <w:div w:id="2041393976">
      <w:bodyDiv w:val="1"/>
      <w:marLeft w:val="0"/>
      <w:marRight w:val="0"/>
      <w:marTop w:val="0"/>
      <w:marBottom w:val="0"/>
      <w:divBdr>
        <w:top w:val="none" w:sz="0" w:space="0" w:color="auto"/>
        <w:left w:val="none" w:sz="0" w:space="0" w:color="auto"/>
        <w:bottom w:val="none" w:sz="0" w:space="0" w:color="auto"/>
        <w:right w:val="none" w:sz="0" w:space="0" w:color="auto"/>
      </w:divBdr>
    </w:div>
    <w:div w:id="2057192427">
      <w:bodyDiv w:val="1"/>
      <w:marLeft w:val="0"/>
      <w:marRight w:val="0"/>
      <w:marTop w:val="0"/>
      <w:marBottom w:val="0"/>
      <w:divBdr>
        <w:top w:val="none" w:sz="0" w:space="0" w:color="auto"/>
        <w:left w:val="none" w:sz="0" w:space="0" w:color="auto"/>
        <w:bottom w:val="none" w:sz="0" w:space="0" w:color="auto"/>
        <w:right w:val="none" w:sz="0" w:space="0" w:color="auto"/>
      </w:divBdr>
    </w:div>
    <w:div w:id="2067993918">
      <w:bodyDiv w:val="1"/>
      <w:marLeft w:val="0"/>
      <w:marRight w:val="0"/>
      <w:marTop w:val="0"/>
      <w:marBottom w:val="0"/>
      <w:divBdr>
        <w:top w:val="none" w:sz="0" w:space="0" w:color="auto"/>
        <w:left w:val="none" w:sz="0" w:space="0" w:color="auto"/>
        <w:bottom w:val="none" w:sz="0" w:space="0" w:color="auto"/>
        <w:right w:val="none" w:sz="0" w:space="0" w:color="auto"/>
      </w:divBdr>
    </w:div>
    <w:div w:id="2081517486">
      <w:bodyDiv w:val="1"/>
      <w:marLeft w:val="0"/>
      <w:marRight w:val="0"/>
      <w:marTop w:val="0"/>
      <w:marBottom w:val="0"/>
      <w:divBdr>
        <w:top w:val="none" w:sz="0" w:space="0" w:color="auto"/>
        <w:left w:val="none" w:sz="0" w:space="0" w:color="auto"/>
        <w:bottom w:val="none" w:sz="0" w:space="0" w:color="auto"/>
        <w:right w:val="none" w:sz="0" w:space="0" w:color="auto"/>
      </w:divBdr>
    </w:div>
    <w:div w:id="2086679964">
      <w:bodyDiv w:val="1"/>
      <w:marLeft w:val="0"/>
      <w:marRight w:val="0"/>
      <w:marTop w:val="0"/>
      <w:marBottom w:val="0"/>
      <w:divBdr>
        <w:top w:val="none" w:sz="0" w:space="0" w:color="auto"/>
        <w:left w:val="none" w:sz="0" w:space="0" w:color="auto"/>
        <w:bottom w:val="none" w:sz="0" w:space="0" w:color="auto"/>
        <w:right w:val="none" w:sz="0" w:space="0" w:color="auto"/>
      </w:divBdr>
      <w:divsChild>
        <w:div w:id="745608737">
          <w:marLeft w:val="0"/>
          <w:marRight w:val="0"/>
          <w:marTop w:val="0"/>
          <w:marBottom w:val="0"/>
          <w:divBdr>
            <w:top w:val="none" w:sz="0" w:space="0" w:color="auto"/>
            <w:left w:val="none" w:sz="0" w:space="0" w:color="auto"/>
            <w:bottom w:val="none" w:sz="0" w:space="0" w:color="auto"/>
            <w:right w:val="none" w:sz="0" w:space="0" w:color="auto"/>
          </w:divBdr>
          <w:divsChild>
            <w:div w:id="1556895401">
              <w:marLeft w:val="60"/>
              <w:marRight w:val="0"/>
              <w:marTop w:val="0"/>
              <w:marBottom w:val="0"/>
              <w:divBdr>
                <w:top w:val="none" w:sz="0" w:space="0" w:color="auto"/>
                <w:left w:val="none" w:sz="0" w:space="0" w:color="auto"/>
                <w:bottom w:val="none" w:sz="0" w:space="0" w:color="auto"/>
                <w:right w:val="none" w:sz="0" w:space="0" w:color="auto"/>
              </w:divBdr>
              <w:divsChild>
                <w:div w:id="496112777">
                  <w:marLeft w:val="0"/>
                  <w:marRight w:val="0"/>
                  <w:marTop w:val="0"/>
                  <w:marBottom w:val="0"/>
                  <w:divBdr>
                    <w:top w:val="none" w:sz="0" w:space="0" w:color="auto"/>
                    <w:left w:val="none" w:sz="0" w:space="0" w:color="auto"/>
                    <w:bottom w:val="none" w:sz="0" w:space="0" w:color="auto"/>
                    <w:right w:val="none" w:sz="0" w:space="0" w:color="auto"/>
                  </w:divBdr>
                  <w:divsChild>
                    <w:div w:id="856962342">
                      <w:marLeft w:val="0"/>
                      <w:marRight w:val="0"/>
                      <w:marTop w:val="0"/>
                      <w:marBottom w:val="120"/>
                      <w:divBdr>
                        <w:top w:val="single" w:sz="6" w:space="0" w:color="F5F5F5"/>
                        <w:left w:val="single" w:sz="6" w:space="0" w:color="F5F5F5"/>
                        <w:bottom w:val="single" w:sz="6" w:space="0" w:color="F5F5F5"/>
                        <w:right w:val="single" w:sz="6" w:space="0" w:color="F5F5F5"/>
                      </w:divBdr>
                      <w:divsChild>
                        <w:div w:id="1569263074">
                          <w:marLeft w:val="0"/>
                          <w:marRight w:val="0"/>
                          <w:marTop w:val="0"/>
                          <w:marBottom w:val="0"/>
                          <w:divBdr>
                            <w:top w:val="none" w:sz="0" w:space="0" w:color="auto"/>
                            <w:left w:val="none" w:sz="0" w:space="0" w:color="auto"/>
                            <w:bottom w:val="none" w:sz="0" w:space="0" w:color="auto"/>
                            <w:right w:val="none" w:sz="0" w:space="0" w:color="auto"/>
                          </w:divBdr>
                          <w:divsChild>
                            <w:div w:id="20394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Ben08</b:Tag>
    <b:SourceType>ArticleInAPeriodical</b:SourceType>
    <b:Guid>{BB051BCC-8909-433C-92B4-244E62814E94}</b:Guid>
    <b:Title>The 'digital natives' debate: a critical review of the evidence.</b:Title>
    <b:Year>2008</b:Year>
    <b:City>Boulder</b:City>
    <b:Author>
      <b:Author>
        <b:Corporate>Bennett, S., Maton, K., &amp; Kervin, L.</b:Corporate>
      </b:Author>
    </b:Author>
    <b:PeriodicalTitle>British Journal of Educational Technology</b:PeriodicalTitle>
    <b:Pages>775-786</b:Pages>
    <b:Volume>39</b:Volume>
    <b:Issue>5</b:Issue>
    <b:ShortTitle>CO: EDUCAUSE</b:ShortTitle>
    <b:Medium>CO: EDUCAUSE</b:Medium>
    <b:RefOrder>1</b:RefOrder>
  </b:Source>
  <b:Source>
    <b:Tag>Alo91</b:Tag>
    <b:SourceType>Misc</b:SourceType>
    <b:Guid>{B4282C5B-7E5E-487F-B4E2-CD9D906FFD5F}</b:Guid>
    <b:Author>
      <b:Author>
        <b:Corporate>Alonso, C.M.; Gallego, d.; Honey, P.</b:Corporate>
      </b:Author>
    </b:Author>
    <b:Title>Estilos de aprendizaje y estudiantes universitarios</b:Title>
    <b:Year>1991</b:Year>
    <b:City>Las Palmas de Gran Canaria: ICE de la Universidad de Las Palmas de Gran Canaria</b:City>
    <b:PublicationTitle>III Jornadas Nacionales de Didáctica universitaria.</b:PublicationTitle>
    <b:RefOrder>2</b:RefOrder>
  </b:Source>
  <b:Source>
    <b:Tag>Alo12</b:Tag>
    <b:SourceType>Book</b:SourceType>
    <b:Guid>{8A9A9CBE-FA42-4BF0-8559-4BC7692E9145}</b:Guid>
    <b:Title>Los estilos de aprendizaje: Procedimientos de diagnóstico y mejora.</b:Title>
    <b:Year>2012</b:Year>
    <b:Publisher>Mensajero</b:Publisher>
    <b:Author>
      <b:Author>
        <b:Corporate>Alonso, C.M.; Gallego, D.; Honey, P.</b:Corporate>
      </b:Author>
    </b:Author>
    <b:Edition>8</b:Edition>
    <b:RefOrder>3</b:RefOrder>
  </b:Source>
  <b:Source>
    <b:Tag>Bac13</b:Tag>
    <b:SourceType>Misc</b:SourceType>
    <b:Guid>{B1BC4C15-AE2E-4629-9F49-06388ABA7A85}</b:Guid>
    <b:Title>Caracterização dos estilos e estratégias de aprendizagem dos estudantes do curso de farmácia da UFS - Campus São Cristovão. Dissertação de Mestrado. </b:Title>
    <b:Year>2013</b:Year>
    <b:City>Aracaju</b:City>
    <b:Author>
      <b:Author>
        <b:NameList>
          <b:Person>
            <b:Last>Backer</b:Last>
            <b:First>P.</b:First>
          </b:Person>
        </b:NameList>
      </b:Author>
    </b:Author>
    <b:RefOrder>4</b:RefOrder>
  </b:Source>
  <b:Source>
    <b:Tag>Cra12</b:Tag>
    <b:SourceType>ArticleInAPeriodical</b:SourceType>
    <b:Guid>{E79F1666-09C4-414F-89DF-1E8A44F5F2FB}</b:Guid>
    <b:Title>Comparison of Learning Styles of Pharmacy Students and Faculty Members.</b:Title>
    <b:Year>2012</b:Year>
    <b:Author>
      <b:Author>
        <b:Corporate>Crawford, S. Y., Alhreish, S. K.; Popovick, N. G.</b:Corporate>
      </b:Author>
    </b:Author>
    <b:PeriodicalTitle>American Journal of Pharmaceutical Education</b:PeriodicalTitle>
    <b:Comments>Article 192</b:Comments>
    <b:Volume>76</b:Volume>
    <b:Issue>10</b:Issue>
    <b:RefOrder>5</b:RefOrder>
  </b:Source>
  <b:Source>
    <b:Tag>Cut03</b:Tag>
    <b:SourceType>ArticleInAPeriodical</b:SourceType>
    <b:Guid>{CAA541FB-31F9-4B5D-AE06-0F60BB692048}</b:Guid>
    <b:Author>
      <b:Author>
        <b:Corporate>Cutts, C.</b:Corporate>
      </b:Author>
    </b:Author>
    <b:Title>Teaching the teacher: the missing link in Australian clinical parmacy training?</b:Title>
    <b:PeriodicalTitle>J Pharm Pract Res</b:PeriodicalTitle>
    <b:Year>2003</b:Year>
    <b:Pages>45-46</b:Pages>
    <b:Volume>33</b:Volume>
    <b:Issue>1</b:Issue>
    <b:RefOrder>6</b:RefOrder>
  </b:Source>
  <b:Source>
    <b:Tag>Ded05</b:Tag>
    <b:SourceType>BookSection</b:SourceType>
    <b:Guid>{93709162-E6EA-4EA4-83FC-07BF5C1C6737}</b:Guid>
    <b:Title>Planning for neomillennial learning styles: implications for investments in faculty and technology.</b:Title>
    <b:Year>2005</b:Year>
    <b:Pages>151-152</b:Pages>
    <b:Author>
      <b:Author>
        <b:NameList>
          <b:Person>
            <b:Last>Dede</b:Last>
            <b:First>C.</b:First>
          </b:Person>
        </b:NameList>
      </b:Author>
    </b:Author>
    <b:City>Boulder, CO: EDUCASE</b:City>
    <b:Publisher>In D. Oblinger, &amp; J. Olblinger (Eds.), Education the net generation</b:Publisher>
    <b:RefOrder>7</b:RefOrder>
  </b:Source>
  <b:Source>
    <b:Tag>Fel88</b:Tag>
    <b:SourceType>ArticleInAPeriodical</b:SourceType>
    <b:Guid>{433CE5B5-F21E-4BB7-86C8-0A48FA8E42B2}</b:Guid>
    <b:Title>Learning and Teaching Styles in Engineering Education</b:Title>
    <b:Year>1988</b:Year>
    <b:Pages>674-681</b:Pages>
    <b:Author>
      <b:Author>
        <b:Corporate>Felder, R.M.; Silverman, L.K.</b:Corporate>
      </b:Author>
    </b:Author>
    <b:PeriodicalTitle>Engr Education</b:PeriodicalTitle>
    <b:Volume>78</b:Volume>
    <b:Issue>7</b:Issue>
    <b:RefOrder>8</b:RefOrder>
  </b:Source>
  <b:Source>
    <b:Tag>Gag74</b:Tag>
    <b:SourceType>Book</b:SourceType>
    <b:Guid>{63612612-243E-423E-A43E-09FCD5FFA08C}</b:Guid>
    <b:Title>Como se realiza a aprendizagem</b:Title>
    <b:Year>1974</b:Year>
    <b:Author>
      <b:Author>
        <b:NameList>
          <b:Person>
            <b:Last>Gagné</b:Last>
            <b:First>Robert</b:First>
            <b:Middle>M.</b:Middle>
          </b:Person>
        </b:NameList>
      </b:Author>
    </b:Author>
    <b:City>Rio de Janeiro</b:City>
    <b:Publisher>Livros Técnicos e Científicos</b:Publisher>
    <b:RefOrder>9</b:RefOrder>
  </b:Source>
  <b:Source>
    <b:Tag>Gar94</b:Tag>
    <b:SourceType>Book</b:SourceType>
    <b:Guid>{ED889636-4B6A-4EE4-A1D5-29A08F9464FA}</b:Guid>
    <b:Author>
      <b:Author>
        <b:NameList>
          <b:Person>
            <b:Last>Gardner</b:Last>
            <b:First>H.</b:First>
          </b:Person>
        </b:NameList>
      </b:Author>
    </b:Author>
    <b:Title>Estruturas da mente: a teoria das inteligências múltiplas</b:Title>
    <b:Year>1994</b:Year>
    <b:City>Porto Alegre</b:City>
    <b:Publisher>Artes Médicas</b:Publisher>
    <b:RefOrder>10</b:RefOrder>
  </b:Source>
  <b:Source>
    <b:Tag>Gil11</b:Tag>
    <b:SourceType>Book</b:SourceType>
    <b:Guid>{D8CA54E7-44B3-4070-9403-FF2E6EBCCABA}</b:Guid>
    <b:Title>Didática do ensino superior</b:Title>
    <b:Year>2011</b:Year>
    <b:Author>
      <b:Author>
        <b:NameList>
          <b:Person>
            <b:Last>Gil</b:Last>
            <b:First>Antônio</b:First>
            <b:Middle>Carlos.</b:Middle>
          </b:Person>
        </b:NameList>
      </b:Author>
    </b:Author>
    <b:City>São Paulo</b:City>
    <b:Publisher>1. ed - 6. reimpr.</b:Publisher>
    <b:RefOrder>11</b:RefOrder>
  </b:Source>
  <b:Source>
    <b:Tag>Hon86</b:Tag>
    <b:SourceType>Book</b:SourceType>
    <b:Guid>{0F6AAB2F-89A0-4263-B57A-9FC35137B2BF}</b:Guid>
    <b:Author>
      <b:Author>
        <b:Corporate>Honey, P.; Mumford, A. </b:Corporate>
      </b:Author>
    </b:Author>
    <b:Title>Using our learning styles. </b:Title>
    <b:Year>1986</b:Year>
    <b:City>U.K.</b:City>
    <b:Publisher>Berkshire</b:Publisher>
    <b:RefOrder>12</b:RefOrder>
  </b:Source>
  <b:Source>
    <b:Tag>Kee88</b:Tag>
    <b:SourceType>Book</b:SourceType>
    <b:Guid>{CBE91224-95B9-4C7E-8CC2-4C2EFD3D60CF}</b:Guid>
    <b:Author>
      <b:Author>
        <b:NameList>
          <b:Person>
            <b:Last>Keefe</b:Last>
            <b:First>J.W.</b:First>
          </b:Person>
        </b:NameList>
      </b:Author>
    </b:Author>
    <b:Title>Profiling and Utilizing Learning Style</b:Title>
    <b:Year>1988</b:Year>
    <b:City>Reston Virgínia</b:City>
    <b:Publisher>National Association of Secondary School Principals</b:Publisher>
    <b:RefOrder>13</b:RefOrder>
  </b:Source>
  <b:Source>
    <b:Tag>Kol84</b:Tag>
    <b:SourceType>Book</b:SourceType>
    <b:Guid>{1130276C-E85C-46F6-AB5B-5817140432FA}</b:Guid>
    <b:Author>
      <b:Author>
        <b:NameList>
          <b:Person>
            <b:Last>Kolb</b:Last>
            <b:First>D.A.</b:First>
          </b:Person>
        </b:NameList>
      </b:Author>
    </b:Author>
    <b:Title>Experimental learning: experience as the souce of learning and development.</b:Title>
    <b:Year>1984</b:Year>
    <b:City>Prentice-Hall, Englewood Cliffs, N.i.</b:City>
    <b:RefOrder>14</b:RefOrder>
  </b:Source>
  <b:Source>
    <b:Tag>Mat10</b:Tag>
    <b:SourceType>Book</b:SourceType>
    <b:Guid>{20E20B03-A4DA-400B-8F24-1EF467E5AC85}</b:Guid>
    <b:Author>
      <b:Author>
        <b:NameList>
          <b:Person>
            <b:Last>Mattar</b:Last>
            <b:First>J.</b:First>
          </b:Person>
        </b:NameList>
      </b:Author>
    </b:Author>
    <b:Title>Games em educação: como os nativos digitais aprendem.</b:Title>
    <b:JournalName>Pearson Prentice Hall</b:JournalName>
    <b:Year>2010</b:Year>
    <b:City>São Paulo</b:City>
    <b:Publisher>Pearson Prentice Hall</b:Publisher>
    <b:RefOrder>15</b:RefOrder>
  </b:Source>
  <b:Source>
    <b:Tag>Mir05</b:Tag>
    <b:SourceType>Book</b:SourceType>
    <b:Guid>{DDA543C0-D624-43B3-9E8A-D353ACDD7C97}</b:Guid>
    <b:Title>Educação Online: Interação e Estilos de Aprendizagem de Alunos do Ensino Superior numa Plataforma Web. Tese de Doutorado. </b:Title>
    <b:Year>2005</b:Year>
    <b:City>Universidade do Minho</b:City>
    <b:Author>
      <b:Author>
        <b:NameList>
          <b:Person>
            <b:Last>Miranda</b:Last>
            <b:First>Luísa</b:First>
            <b:Middle>Augusta Vara.</b:Middle>
          </b:Person>
        </b:NameList>
      </b:Author>
    </b:Author>
    <b:RefOrder>16</b:RefOrder>
  </b:Source>
  <b:Source>
    <b:Tag>NgW12</b:Tag>
    <b:SourceType>ArticleInAPeriodical</b:SourceType>
    <b:Guid>{1E14B074-02A4-48DD-B26D-6732027EFCEA}</b:Guid>
    <b:Title>Can we teach digital natives digital literacy?</b:Title>
    <b:Year>2012</b:Year>
    <b:Author>
      <b:Author>
        <b:NameList>
          <b:Person>
            <b:Last>Ng</b:Last>
            <b:First>W.</b:First>
          </b:Person>
        </b:NameList>
      </b:Author>
    </b:Author>
    <b:JournalName>Computers &amp; Education</b:JournalName>
    <b:Pages>1065-1078</b:Pages>
    <b:Volume>59</b:Volume>
    <b:RefOrder>17</b:RefOrder>
  </b:Source>
  <b:Source>
    <b:Tag>Mar11</b:Tag>
    <b:SourceType>ArticleInAPeriodical</b:SourceType>
    <b:Guid>{9E9D01AE-38B6-4D43-A60F-5DA0EC489019}</b:Guid>
    <b:Title>Are digital natives a myth or reality? University students' use of digital Technologies.</b:Title>
    <b:Year>2011</b:Year>
    <b:Author>
      <b:Author>
        <b:Corporate>Margaryan, A.; Littlejohn, A.; Vojt, G.</b:Corporate>
      </b:Author>
    </b:Author>
    <b:JournalName>Computers &amp; Education 56</b:JournalName>
    <b:Pages>429-440</b:Pages>
    <b:RefOrder>18</b:RefOrder>
  </b:Source>
  <b:Source>
    <b:Tag>Cof04</b:Tag>
    <b:SourceType>ArticleInAPeriodical</b:SourceType>
    <b:Guid>{4FFBD316-4E48-405D-B5AD-76BCDCE3A6F1}</b:Guid>
    <b:Title>Learning styles and pedagogy in post-16 learnin: A systematic and critical review.</b:Title>
    <b:Year>2004</b:Year>
    <b:Author>
      <b:Author>
        <b:Corporate>Coffield, F.; Moseley, D.; Hall, E.; Ecclestone, K.</b:Corporate>
      </b:Author>
    </b:Author>
    <b:JournalName>Learning and Skills Research Centre</b:JournalName>
    <b:RefOrder>19</b:RefOrder>
  </b:Source>
  <b:Source>
    <b:Tag>Gar84</b:Tag>
    <b:SourceType>ArticleInAPeriodical</b:SourceType>
    <b:Guid>{DD82BF5E-4BE5-4EB7-A74D-E202C55DD754}</b:Guid>
    <b:Title>An Assessment of Learning Styles Among Pharmacy Students.</b:Title>
    <b:Year>1984</b:Year>
    <b:Author>
      <b:Author>
        <b:NameList>
          <b:Person>
            <b:Last>Garvey</b:Last>
            <b:First>M.</b:First>
          </b:Person>
          <b:Person>
            <b:Last>Bootman</b:Last>
            <b:First>J.L.</b:First>
          </b:Person>
          <b:Person>
            <b:Last>McGhan</b:Last>
            <b:First>W.F.</b:First>
          </b:Person>
          <b:Person>
            <b:Last>Meredith</b:Last>
            <b:First>K.</b:First>
          </b:Person>
        </b:NameList>
      </b:Author>
    </b:Author>
    <b:JournalName>Am J Pharm Educ.</b:JournalName>
    <b:Pages>134-140</b:Pages>
    <b:Volume>48</b:Volume>
    <b:RefOrder>20</b:RefOrder>
  </b:Source>
  <b:Source>
    <b:Tag>Obl05</b:Tag>
    <b:SourceType>Book</b:SourceType>
    <b:Guid>{95D8CB20-E579-4F1E-A2E3-81F2E633AE1D}</b:Guid>
    <b:Title>Is it age or IT: first steps towards understanding the net generation. </b:Title>
    <b:Year>2005</b:Year>
    <b:Author>
      <b:Author>
        <b:NameList>
          <b:Person>
            <b:Last>Oblinger</b:Last>
            <b:First>D.</b:First>
            <b:Middle>&amp; Oblinger, J.</b:Middle>
          </b:Person>
        </b:NameList>
      </b:Author>
    </b:Author>
    <b:Publisher>In D. Oblinger, &amp; J. Oblinger (Eds.), Educating the net generation</b:Publisher>
    <b:RefOrder>21</b:RefOrder>
  </b:Source>
  <b:Source>
    <b:Tag>Par05</b:Tag>
    <b:SourceType>Book</b:SourceType>
    <b:Guid>{ECC7316B-54C7-4DDC-9311-663A3E0A4781}</b:Guid>
    <b:Author>
      <b:Author>
        <b:NameList>
          <b:Person>
            <b:Last>Parejo</b:Last>
            <b:First>A.M.V.C.</b:First>
          </b:Person>
        </b:NameList>
      </b:Author>
    </b:Author>
    <b:Title>Identificación de los estilos de aprendizaje y propuesta de orientacion pedagógica para estudiantes de la universidad austral de Chile. </b:Title>
    <b:Year>2005</b:Year>
    <b:City>Trabajo final de magister. Valdivia - Chile</b:City>
    <b:RefOrder>22</b:RefOrder>
  </b:Source>
  <b:Source>
    <b:Tag>Por03</b:Tag>
    <b:SourceType>Book</b:SourceType>
    <b:Guid>{0BB402CA-4CBE-4B89-BF6F-1185C71946EB}</b:Guid>
    <b:Author>
      <b:Author>
        <b:NameList>
          <b:Person>
            <b:Last>Portilho</b:Last>
            <b:First>E.</b:First>
            <b:Middle>M.</b:Middle>
          </b:Person>
        </b:NameList>
      </b:Author>
    </b:Author>
    <b:Title>Aprendizaje Universitário: Um Enfoque Metacognitivo</b:Title>
    <b:Year>2003</b:Year>
    <b:City>Madrid: Universidad Complutense. Tese de Doutorado.</b:City>
    <b:RefOrder>23</b:RefOrder>
  </b:Source>
  <b:Source>
    <b:Tag>Pre01</b:Tag>
    <b:SourceType>JournalArticle</b:SourceType>
    <b:Guid>{ACA0F68E-8417-4E47-872C-AA80383E6BF9}</b:Guid>
    <b:Title>Digital natives, digital immigrants.</b:Title>
    <b:Year>2001</b:Year>
    <b:Author>
      <b:Author>
        <b:NameList>
          <b:Person>
            <b:Last>Prensky</b:Last>
            <b:First>M.</b:First>
          </b:Person>
        </b:NameList>
      </b:Author>
    </b:Author>
    <b:Pages>1-6</b:Pages>
    <b:Volume>9</b:Volume>
    <b:Issue>5</b:Issue>
    <b:Publisher>On the Horizon</b:Publisher>
    <b:RefOrder>24</b:RefOrder>
  </b:Source>
  <b:Source>
    <b:Tag>Pun03</b:Tag>
    <b:SourceType>ArticleInAPeriodical</b:SourceType>
    <b:Guid>{C1A43A9F-B9E0-42C1-B2F6-4DE4D243D17F}</b:Guid>
    <b:Author>
      <b:Author>
        <b:Corporate>Pungente, M.D.; Wasan, D.M.; Moffett, C.</b:Corporate>
      </b:Author>
    </b:Author>
    <b:Title>Using Learning Styles to Evaluate first-Year Pharmacy Students' Preferences Toward Different Activities Associated with the Problem-Based Learning Approach.</b:Title>
    <b:Year>2003</b:Year>
    <b:Pages>119-124</b:Pages>
    <b:PeriodicalTitle>Am. J  Pharm Educ</b:PeriodicalTitle>
    <b:Volume>66</b:Volume>
    <b:RefOrder>25</b:RefOrder>
  </b:Source>
  <b:Source>
    <b:Tag>Rob12</b:Tag>
    <b:SourceType>ArticleInAPeriodical</b:SourceType>
    <b:Guid>{34D3B685-8685-43AE-B275-EAFB031A187C}</b:Guid>
    <b:Author>
      <b:Author>
        <b:Corporate>Robles, J., Cox, C.D., Seifert, C.F.</b:Corporate>
      </b:Author>
    </b:Author>
    <b:Title>The Impact of Preceptor and Student Learning Styles on Experiential Performance Measures.</b:Title>
    <b:PeriodicalTitle>American Journal of Pharmaceutical Education</b:PeriodicalTitle>
    <b:Year>2012</b:Year>
    <b:Volume>76</b:Volume>
    <b:Issue>7</b:Issue>
    <b:RefOrder>26</b:RefOrder>
  </b:Source>
  <b:Source>
    <b:Tag>Rom09</b:Tag>
    <b:SourceType>ArticleInAPeriodical</b:SourceType>
    <b:Guid>{53DC2978-1181-45B5-9472-8F9227CA9562}</b:Guid>
    <b:Author>
      <b:Author>
        <b:NameList>
          <b:Person>
            <b:Last>Romanelli</b:Last>
            <b:First>F.</b:First>
          </b:Person>
          <b:Person>
            <b:Last>Bird</b:Last>
            <b:First>E.</b:First>
          </b:Person>
          <b:Person>
            <b:Last>Ryan</b:Last>
            <b:First>M.</b:First>
          </b:Person>
        </b:NameList>
      </b:Author>
    </b:Author>
    <b:Title>Learning Styles: A Review of Theory, Application, and Best Practices.</b:Title>
    <b:PeriodicalTitle>American Journal of Pharmaceutical Education</b:PeriodicalTitle>
    <b:Year>2009</b:Year>
    <b:Volume>73</b:Volume>
    <b:Issue>1</b:Issue>
    <b:RefOrder>27</b:RefOrder>
  </b:Source>
  <b:Source>
    <b:Tag>San11</b:Tag>
    <b:SourceType>Book</b:SourceType>
    <b:Guid>{61198D6B-3D8F-4299-815B-F48E8DA940DB}</b:Guid>
    <b:Author>
      <b:Author>
        <b:NameList>
          <b:Person>
            <b:Last>Santiago</b:Last>
            <b:First>I.E.</b:First>
          </b:Person>
        </b:NameList>
      </b:Author>
    </b:Author>
    <b:Title>A escrita de nativos digitais.Tese de doutorado</b:Title>
    <b:Year>2011</b:Year>
    <b:City>Rio de Janeiro</b:City>
    <b:RefOrder>28</b:RefOrder>
  </b:Source>
  <b:Source>
    <b:Tag>Shu99</b:Tag>
    <b:SourceType>ArticleInAPeriodical</b:SourceType>
    <b:Guid>{8401277A-E9BB-4632-96B1-A04A64158D21}</b:Guid>
    <b:Title>Assessing Pharmacy Students' Learning Styles and Personality Types: A Ten-Year Analysis.</b:Title>
    <b:Year>1999</b:Year>
    <b:Author>
      <b:Author>
        <b:Corporate>Shuck, A.A.; Phillips, C.R.</b:Corporate>
      </b:Author>
    </b:Author>
    <b:PeriodicalTitle>American Journal of Phrmaceutical Education</b:PeriodicalTitle>
    <b:Pages>27-33</b:Pages>
    <b:Volume>63</b:Volume>
    <b:RefOrder>29</b:RefOrder>
  </b:Source>
  <b:Source>
    <b:Tag>Tee11</b:Tag>
    <b:SourceType>ArticleInAPeriodical</b:SourceType>
    <b:Guid>{EB0BDCD3-BD8C-4E3F-B150-30C40D99340C}</b:Guid>
    <b:Author>
      <b:Author>
        <b:Corporate>Teevan, C.J.; Li, M.; Schlesselman, L.S.</b:Corporate>
      </b:Author>
    </b:Author>
    <b:Title>Index of Learning Styles in a U.S. School of Pharmacy.</b:Title>
    <b:PeriodicalTitle>Pharmacy Practice</b:PeriodicalTitle>
    <b:Year>2011</b:Year>
    <b:Month>Apr- Jun</b:Month>
    <b:Pages>82-87</b:Pages>
    <b:Volume>9</b:Volume>
    <b:Issue>2</b:Issue>
    <b:RefOrder>30</b:RefOrder>
  </b:Source>
  <b:Source>
    <b:Tag>Vee09</b:Tag>
    <b:SourceType>Book</b:SourceType>
    <b:Guid>{F06247CC-B05A-4A09-BC3E-16C0DB148CEA}</b:Guid>
    <b:Title>Homo Zappiens: educando na era digital. Trad: Vinícius Figueira</b:Title>
    <b:Year>2009</b:Year>
    <b:Author>
      <b:Author>
        <b:NameList>
          <b:Person>
            <b:Last>Veen</b:Last>
            <b:First>Wim</b:First>
          </b:Person>
          <b:Person>
            <b:Last>Vrakking</b:Last>
            <b:First>Ben</b:First>
          </b:Person>
        </b:NameList>
      </b:Author>
    </b:Author>
    <b:City>Porto Alegre</b:City>
    <b:Publisher>Artmed</b:Publisher>
    <b:RefOrder>31</b:RefOrder>
  </b:Source>
  <b:Source>
    <b:Tag>Way</b:Tag>
    <b:SourceType>ArticleInAPeriodical</b:SourceType>
    <b:Guid>{9FC138A0-D3BB-4AD0-A161-8FB1918ADBA1}</b:Guid>
    <b:Title>Digital divides? Sudent and staff perceptions of information and communication Technologies.</b:Title>
    <b:Author>
      <b:Author>
        <b:Corporate>Waycott, J.; Bennett, S.; Kennedy, G.; Dalgarno, B.; Gray, K.</b:Corporate>
      </b:Author>
    </b:Author>
    <b:PeriodicalTitle>Computers &amp; Education2010</b:PeriodicalTitle>
    <b:Pages>1202-1211</b:Pages>
    <b:Volume>54</b:Volume>
    <b:RefOrder>32</b:RefOrder>
  </b:Source>
  <b:Source>
    <b:Tag>Wil13</b:Tag>
    <b:SourceType>ArticleInAPeriodical</b:SourceType>
    <b:Guid>{C8834176-03AF-4442-AA6E-EA3416D19B62}</b:Guid>
    <b:Author>
      <b:Author>
        <b:Corporate>Williams, B.; Brown, T.; Etherington, J.</b:Corporate>
      </b:Author>
    </b:Author>
    <b:Title>Learning style preferenes of undergraduate pharmacy students.</b:Title>
    <b:PeriodicalTitle>Currents in Pharmacy Teaching and Learning</b:PeriodicalTitle>
    <b:Year>2013</b:Year>
    <b:Pages>110-119</b:Pages>
    <b:Volume>5</b:Volume>
    <b:RefOrder>33</b:RefOrder>
  </b:Source>
</b:Sources>
</file>

<file path=customXml/itemProps1.xml><?xml version="1.0" encoding="utf-8"?>
<ds:datastoreItem xmlns:ds="http://schemas.openxmlformats.org/officeDocument/2006/customXml" ds:itemID="{BB97A475-291C-4875-9A6C-C44722EF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16764</Words>
  <Characters>95561</Characters>
  <Application>Microsoft Office Word</Application>
  <DocSecurity>0</DocSecurity>
  <Lines>796</Lines>
  <Paragraphs>224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dc:creator>
  <cp:lastModifiedBy>CAPA-1</cp:lastModifiedBy>
  <cp:revision>2</cp:revision>
  <dcterms:created xsi:type="dcterms:W3CDTF">2017-03-16T10:52:00Z</dcterms:created>
  <dcterms:modified xsi:type="dcterms:W3CDTF">2017-03-16T10:52:00Z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aleczepula@gmail.com@www.mendeley.com</vt:lpwstr>
  </property>
  <property fmtid="{D5CDD505-2E9C-101B-9397-08002B2CF9AE}" pid="4" name="Mendeley Citation Style_1">
    <vt:lpwstr>http://www.zotero.org/styles/currents-in-pharmacy-teaching-and-learning</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http://www.zotero.org/styles/currents-in-pharmacy-teaching-and-learning</vt:lpwstr>
  </property>
  <property fmtid="{D5CDD505-2E9C-101B-9397-08002B2CF9AE}" pid="14" name="Mendeley Recent Style Name 4_1">
    <vt:lpwstr>Currents in Pharmacy Teaching and Learning</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