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BC" w:rsidRPr="0077328F" w:rsidRDefault="00083E33" w:rsidP="007A3EE6">
      <w:pPr>
        <w:spacing w:line="480" w:lineRule="auto"/>
        <w:jc w:val="center"/>
        <w:rPr>
          <w:b/>
        </w:rPr>
      </w:pPr>
      <w:r w:rsidRPr="0077328F">
        <w:rPr>
          <w:b/>
        </w:rPr>
        <w:t>M</w:t>
      </w:r>
      <w:r w:rsidR="001750B9" w:rsidRPr="0077328F">
        <w:rPr>
          <w:b/>
        </w:rPr>
        <w:t xml:space="preserve">icrostructure and </w:t>
      </w:r>
      <w:r w:rsidR="006A6025" w:rsidRPr="0077328F">
        <w:rPr>
          <w:b/>
        </w:rPr>
        <w:t xml:space="preserve">Wear </w:t>
      </w:r>
      <w:r w:rsidR="001750B9" w:rsidRPr="0077328F">
        <w:rPr>
          <w:b/>
        </w:rPr>
        <w:t xml:space="preserve">Properties </w:t>
      </w:r>
      <w:r w:rsidR="00D5474D" w:rsidRPr="0077328F">
        <w:rPr>
          <w:b/>
        </w:rPr>
        <w:t xml:space="preserve">of </w:t>
      </w:r>
      <w:proofErr w:type="spellStart"/>
      <w:r w:rsidR="006A6025" w:rsidRPr="0077328F">
        <w:rPr>
          <w:b/>
        </w:rPr>
        <w:t>C</w:t>
      </w:r>
      <w:r w:rsidR="001750B9" w:rsidRPr="0077328F">
        <w:rPr>
          <w:b/>
        </w:rPr>
        <w:t>oCrMoSi</w:t>
      </w:r>
      <w:proofErr w:type="spellEnd"/>
      <w:r w:rsidR="001750B9" w:rsidRPr="0077328F">
        <w:rPr>
          <w:b/>
        </w:rPr>
        <w:t xml:space="preserve"> alloy</w:t>
      </w:r>
      <w:r w:rsidR="006A6025" w:rsidRPr="0077328F">
        <w:rPr>
          <w:b/>
        </w:rPr>
        <w:t xml:space="preserve"> Coatings</w:t>
      </w:r>
      <w:r w:rsidR="000B3B94" w:rsidRPr="0077328F">
        <w:rPr>
          <w:b/>
        </w:rPr>
        <w:t xml:space="preserve"> on AISI 316L</w:t>
      </w:r>
      <w:r w:rsidR="00D5474D" w:rsidRPr="0077328F">
        <w:rPr>
          <w:b/>
        </w:rPr>
        <w:t xml:space="preserve"> </w:t>
      </w:r>
    </w:p>
    <w:p w:rsidR="001A2B08" w:rsidRPr="00484D12" w:rsidRDefault="001A2B08" w:rsidP="00FA3DF5">
      <w:pPr>
        <w:spacing w:line="480" w:lineRule="auto"/>
        <w:jc w:val="both"/>
        <w:rPr>
          <w:b/>
        </w:rPr>
      </w:pPr>
    </w:p>
    <w:p w:rsidR="00A8231A" w:rsidRPr="00F258F4" w:rsidRDefault="00604AF5" w:rsidP="007A3EE6">
      <w:pPr>
        <w:spacing w:line="480" w:lineRule="auto"/>
        <w:jc w:val="both"/>
        <w:rPr>
          <w:b/>
        </w:rPr>
      </w:pPr>
      <w:r w:rsidRPr="00FF4C06">
        <w:rPr>
          <w:b/>
          <w:highlight w:val="yellow"/>
        </w:rPr>
        <w:t xml:space="preserve">Wear performance </w:t>
      </w:r>
      <w:r w:rsidR="00F279A1" w:rsidRPr="00FF4C06">
        <w:rPr>
          <w:b/>
          <w:highlight w:val="yellow"/>
        </w:rPr>
        <w:t xml:space="preserve">as well as the low toughness </w:t>
      </w:r>
      <w:r w:rsidRPr="00FF4C06">
        <w:rPr>
          <w:b/>
          <w:highlight w:val="yellow"/>
        </w:rPr>
        <w:t xml:space="preserve">of </w:t>
      </w:r>
      <w:proofErr w:type="spellStart"/>
      <w:r w:rsidRPr="00FF4C06">
        <w:rPr>
          <w:b/>
          <w:highlight w:val="yellow"/>
        </w:rPr>
        <w:t>CoCrMoSi</w:t>
      </w:r>
      <w:proofErr w:type="spellEnd"/>
      <w:r w:rsidRPr="00FF4C06">
        <w:rPr>
          <w:b/>
          <w:highlight w:val="yellow"/>
        </w:rPr>
        <w:t xml:space="preserve"> alloys is associated </w:t>
      </w:r>
      <w:r w:rsidR="00F279A1" w:rsidRPr="00FF4C06">
        <w:rPr>
          <w:b/>
          <w:highlight w:val="yellow"/>
        </w:rPr>
        <w:t>to</w:t>
      </w:r>
      <w:r w:rsidRPr="00FF4C06">
        <w:rPr>
          <w:b/>
          <w:highlight w:val="yellow"/>
        </w:rPr>
        <w:t xml:space="preserve"> the</w:t>
      </w:r>
      <w:r w:rsidR="00F279A1" w:rsidRPr="00FF4C06">
        <w:rPr>
          <w:b/>
          <w:highlight w:val="yellow"/>
        </w:rPr>
        <w:t xml:space="preserve"> presence of</w:t>
      </w:r>
      <w:r w:rsidRPr="00FF4C06">
        <w:rPr>
          <w:b/>
          <w:highlight w:val="yellow"/>
        </w:rPr>
        <w:t xml:space="preserve"> </w:t>
      </w:r>
      <w:r w:rsidR="00F279A1" w:rsidRPr="00FF4C06">
        <w:rPr>
          <w:b/>
          <w:highlight w:val="yellow"/>
        </w:rPr>
        <w:t xml:space="preserve">Laves </w:t>
      </w:r>
      <w:proofErr w:type="spellStart"/>
      <w:r w:rsidRPr="00FF4C06">
        <w:rPr>
          <w:b/>
          <w:highlight w:val="yellow"/>
        </w:rPr>
        <w:t>intermetallic</w:t>
      </w:r>
      <w:proofErr w:type="spellEnd"/>
      <w:r w:rsidRPr="00FF4C06">
        <w:rPr>
          <w:b/>
          <w:highlight w:val="yellow"/>
        </w:rPr>
        <w:t xml:space="preserve"> phase. Alloying</w:t>
      </w:r>
      <w:r w:rsidR="00E33AD5" w:rsidRPr="00FF4C06">
        <w:rPr>
          <w:b/>
          <w:highlight w:val="yellow"/>
        </w:rPr>
        <w:t xml:space="preserve"> elements</w:t>
      </w:r>
      <w:r w:rsidRPr="00FF4C06">
        <w:rPr>
          <w:b/>
          <w:highlight w:val="yellow"/>
        </w:rPr>
        <w:t xml:space="preserve"> ha</w:t>
      </w:r>
      <w:r w:rsidR="00505B51" w:rsidRPr="00FF4C06">
        <w:rPr>
          <w:b/>
          <w:highlight w:val="yellow"/>
        </w:rPr>
        <w:t>ve</w:t>
      </w:r>
      <w:r w:rsidRPr="00FF4C06">
        <w:rPr>
          <w:b/>
          <w:highlight w:val="yellow"/>
        </w:rPr>
        <w:t xml:space="preserve"> been </w:t>
      </w:r>
      <w:r w:rsidR="0009135C" w:rsidRPr="00FF4C06">
        <w:rPr>
          <w:b/>
          <w:highlight w:val="yellow"/>
        </w:rPr>
        <w:t xml:space="preserve">changed </w:t>
      </w:r>
      <w:r w:rsidR="00F279A1" w:rsidRPr="00FF4C06">
        <w:rPr>
          <w:b/>
          <w:highlight w:val="yellow"/>
        </w:rPr>
        <w:t xml:space="preserve">to </w:t>
      </w:r>
      <w:r w:rsidRPr="00FF4C06">
        <w:rPr>
          <w:b/>
          <w:highlight w:val="yellow"/>
        </w:rPr>
        <w:t xml:space="preserve">reduce </w:t>
      </w:r>
      <w:r w:rsidR="00F279A1" w:rsidRPr="00FF4C06">
        <w:rPr>
          <w:b/>
          <w:highlight w:val="yellow"/>
        </w:rPr>
        <w:t xml:space="preserve">brittleness </w:t>
      </w:r>
      <w:r w:rsidR="00E33AD5" w:rsidRPr="00FF4C06">
        <w:rPr>
          <w:b/>
          <w:highlight w:val="yellow"/>
        </w:rPr>
        <w:t>on newly cast alloys</w:t>
      </w:r>
      <w:r w:rsidRPr="00FF4C06">
        <w:rPr>
          <w:b/>
          <w:highlight w:val="yellow"/>
        </w:rPr>
        <w:t>.</w:t>
      </w:r>
      <w:r w:rsidRPr="00F258F4">
        <w:rPr>
          <w:b/>
        </w:rPr>
        <w:t xml:space="preserve"> This work evaluated coatings by plasma transferred arc (PTA) with different interaction</w:t>
      </w:r>
      <w:r w:rsidR="00104453">
        <w:rPr>
          <w:b/>
        </w:rPr>
        <w:t xml:space="preserve"> </w:t>
      </w:r>
      <w:r w:rsidR="002301CD" w:rsidRPr="00F258F4">
        <w:rPr>
          <w:b/>
        </w:rPr>
        <w:t>with</w:t>
      </w:r>
      <w:r w:rsidRPr="00F258F4">
        <w:rPr>
          <w:b/>
        </w:rPr>
        <w:t xml:space="preserve"> the AISI 316L </w:t>
      </w:r>
      <w:r w:rsidR="002F0C15" w:rsidRPr="002F0C15">
        <w:rPr>
          <w:b/>
          <w:highlight w:val="yellow"/>
        </w:rPr>
        <w:t>steel</w:t>
      </w:r>
      <w:r w:rsidR="002F0C15">
        <w:rPr>
          <w:b/>
        </w:rPr>
        <w:t xml:space="preserve"> </w:t>
      </w:r>
      <w:r w:rsidRPr="00F258F4">
        <w:rPr>
          <w:b/>
        </w:rPr>
        <w:t>substrate</w:t>
      </w:r>
      <w:r w:rsidR="00FF4C06">
        <w:rPr>
          <w:b/>
        </w:rPr>
        <w:t xml:space="preserve"> (dilution)</w:t>
      </w:r>
      <w:r w:rsidR="00C40FD4">
        <w:rPr>
          <w:b/>
        </w:rPr>
        <w:t xml:space="preserve"> </w:t>
      </w:r>
      <w:r w:rsidR="00F279A1" w:rsidRPr="00FF4C06">
        <w:rPr>
          <w:b/>
          <w:highlight w:val="yellow"/>
        </w:rPr>
        <w:t>thru the variation of processing current intensity</w:t>
      </w:r>
      <w:r w:rsidRPr="00F258F4">
        <w:rPr>
          <w:b/>
        </w:rPr>
        <w:t xml:space="preserve">. Coatings were deposited with 120, 150 and 180 A and characterized by light and scanning electron microscopy, X-ray diffraction and Vickers hardness. </w:t>
      </w:r>
      <w:r w:rsidRPr="002F0C15">
        <w:rPr>
          <w:b/>
          <w:highlight w:val="yellow"/>
        </w:rPr>
        <w:t xml:space="preserve">Wear behavior was </w:t>
      </w:r>
      <w:r w:rsidRPr="00EB0694">
        <w:rPr>
          <w:b/>
          <w:highlight w:val="yellow"/>
        </w:rPr>
        <w:t xml:space="preserve">assessed by </w:t>
      </w:r>
      <w:r w:rsidR="00DB752A">
        <w:rPr>
          <w:b/>
          <w:highlight w:val="yellow"/>
        </w:rPr>
        <w:t>pin-on-</w:t>
      </w:r>
      <w:r w:rsidR="00F279A1" w:rsidRPr="00EB0694">
        <w:rPr>
          <w:b/>
          <w:highlight w:val="yellow"/>
        </w:rPr>
        <w:t xml:space="preserve">disc </w:t>
      </w:r>
      <w:r w:rsidR="002F0C15" w:rsidRPr="00EB0694">
        <w:rPr>
          <w:b/>
          <w:highlight w:val="yellow"/>
        </w:rPr>
        <w:t xml:space="preserve">and </w:t>
      </w:r>
      <w:r w:rsidR="00EB0694" w:rsidRPr="00EB0694">
        <w:rPr>
          <w:b/>
          <w:highlight w:val="yellow"/>
        </w:rPr>
        <w:t>ball-on-flat tests</w:t>
      </w:r>
      <w:r w:rsidR="001C2874" w:rsidRPr="00EB0694">
        <w:rPr>
          <w:b/>
          <w:highlight w:val="yellow"/>
        </w:rPr>
        <w:t>.</w:t>
      </w:r>
      <w:r w:rsidR="00EB0694">
        <w:rPr>
          <w:b/>
        </w:rPr>
        <w:t xml:space="preserve"> </w:t>
      </w:r>
      <w:r w:rsidR="002F0C15" w:rsidRPr="002F0C15">
        <w:rPr>
          <w:b/>
          <w:highlight w:val="yellow"/>
        </w:rPr>
        <w:t xml:space="preserve">Laves phase and Cobalt solid solution </w:t>
      </w:r>
      <w:r w:rsidR="00A5063B" w:rsidRPr="00EB0694">
        <w:rPr>
          <w:b/>
          <w:highlight w:val="yellow"/>
        </w:rPr>
        <w:t xml:space="preserve">eutectic lamellar microstructure </w:t>
      </w:r>
      <w:r w:rsidR="002F0C15" w:rsidRPr="002F0C15">
        <w:rPr>
          <w:b/>
          <w:highlight w:val="yellow"/>
        </w:rPr>
        <w:t xml:space="preserve">was observed for </w:t>
      </w:r>
      <w:r w:rsidR="00A5063B" w:rsidRPr="00EB0694">
        <w:rPr>
          <w:b/>
          <w:highlight w:val="yellow"/>
        </w:rPr>
        <w:t xml:space="preserve">coating processed </w:t>
      </w:r>
      <w:r w:rsidR="00A5063B">
        <w:rPr>
          <w:b/>
          <w:highlight w:val="yellow"/>
        </w:rPr>
        <w:t>with 120A (</w:t>
      </w:r>
      <w:r w:rsidR="001C2874" w:rsidRPr="002F0C15">
        <w:rPr>
          <w:b/>
          <w:highlight w:val="yellow"/>
        </w:rPr>
        <w:t>18</w:t>
      </w:r>
      <w:r w:rsidRPr="002F0C15">
        <w:rPr>
          <w:b/>
          <w:highlight w:val="yellow"/>
        </w:rPr>
        <w:t xml:space="preserve"> % </w:t>
      </w:r>
      <w:r w:rsidR="002F0C15" w:rsidRPr="00EB0694">
        <w:rPr>
          <w:b/>
          <w:highlight w:val="yellow"/>
        </w:rPr>
        <w:t>dilution</w:t>
      </w:r>
      <w:r w:rsidR="00A5063B" w:rsidRPr="00EB0694">
        <w:rPr>
          <w:b/>
          <w:highlight w:val="yellow"/>
        </w:rPr>
        <w:t>)</w:t>
      </w:r>
      <w:r w:rsidRPr="00EB0694">
        <w:rPr>
          <w:b/>
          <w:highlight w:val="yellow"/>
        </w:rPr>
        <w:t>.</w:t>
      </w:r>
      <w:r w:rsidRPr="00F258F4">
        <w:rPr>
          <w:b/>
        </w:rPr>
        <w:t xml:space="preserve"> </w:t>
      </w:r>
      <w:r w:rsidR="002F0C15" w:rsidRPr="002F0C15">
        <w:rPr>
          <w:b/>
          <w:highlight w:val="yellow"/>
        </w:rPr>
        <w:t>T</w:t>
      </w:r>
      <w:r w:rsidRPr="002F0C15">
        <w:rPr>
          <w:b/>
          <w:highlight w:val="yellow"/>
        </w:rPr>
        <w:t>he chemical composit</w:t>
      </w:r>
      <w:r w:rsidR="009609C9" w:rsidRPr="002F0C15">
        <w:rPr>
          <w:b/>
          <w:highlight w:val="yellow"/>
        </w:rPr>
        <w:t xml:space="preserve">ion </w:t>
      </w:r>
      <w:r w:rsidR="002F0C15" w:rsidRPr="002F0C15">
        <w:rPr>
          <w:b/>
          <w:highlight w:val="yellow"/>
        </w:rPr>
        <w:t xml:space="preserve">was displaced </w:t>
      </w:r>
      <w:r w:rsidR="009609C9" w:rsidRPr="002F0C15">
        <w:rPr>
          <w:b/>
          <w:highlight w:val="yellow"/>
        </w:rPr>
        <w:t xml:space="preserve">to hypoeutectic </w:t>
      </w:r>
      <w:r w:rsidR="009609C9" w:rsidRPr="00EB0694">
        <w:rPr>
          <w:b/>
          <w:highlight w:val="yellow"/>
        </w:rPr>
        <w:t>show</w:t>
      </w:r>
      <w:r w:rsidR="00A5063B" w:rsidRPr="00EB0694">
        <w:rPr>
          <w:b/>
          <w:highlight w:val="yellow"/>
        </w:rPr>
        <w:t>ing</w:t>
      </w:r>
      <w:r w:rsidR="009609C9" w:rsidRPr="00EB0694">
        <w:rPr>
          <w:b/>
          <w:highlight w:val="yellow"/>
        </w:rPr>
        <w:t xml:space="preserve"> C</w:t>
      </w:r>
      <w:r w:rsidRPr="00EB0694">
        <w:rPr>
          <w:b/>
          <w:highlight w:val="yellow"/>
        </w:rPr>
        <w:t xml:space="preserve">obalt solid solution </w:t>
      </w:r>
      <w:r w:rsidR="002301CD" w:rsidRPr="00EB0694">
        <w:rPr>
          <w:b/>
          <w:highlight w:val="yellow"/>
        </w:rPr>
        <w:t xml:space="preserve">dendrites </w:t>
      </w:r>
      <w:r w:rsidRPr="00EB0694">
        <w:rPr>
          <w:b/>
          <w:highlight w:val="yellow"/>
        </w:rPr>
        <w:t xml:space="preserve">and </w:t>
      </w:r>
      <w:proofErr w:type="spellStart"/>
      <w:r w:rsidR="00563941" w:rsidRPr="00EB0694">
        <w:rPr>
          <w:b/>
          <w:highlight w:val="yellow"/>
        </w:rPr>
        <w:t>interdendrictic</w:t>
      </w:r>
      <w:proofErr w:type="spellEnd"/>
      <w:r w:rsidR="00563941" w:rsidRPr="00EB0694">
        <w:rPr>
          <w:b/>
          <w:highlight w:val="yellow"/>
        </w:rPr>
        <w:t xml:space="preserve"> </w:t>
      </w:r>
      <w:r w:rsidRPr="00EB0694">
        <w:rPr>
          <w:b/>
          <w:highlight w:val="yellow"/>
        </w:rPr>
        <w:t>eutectic lamellar</w:t>
      </w:r>
      <w:r w:rsidR="00563941" w:rsidRPr="00EB0694">
        <w:rPr>
          <w:b/>
          <w:highlight w:val="yellow"/>
        </w:rPr>
        <w:t xml:space="preserve"> </w:t>
      </w:r>
      <w:r w:rsidR="002F0C15" w:rsidRPr="00EB0694">
        <w:rPr>
          <w:b/>
          <w:highlight w:val="yellow"/>
        </w:rPr>
        <w:t xml:space="preserve">for </w:t>
      </w:r>
      <w:r w:rsidR="00A5063B" w:rsidRPr="00EB0694">
        <w:rPr>
          <w:b/>
          <w:highlight w:val="yellow"/>
        </w:rPr>
        <w:t>coatings processed with higher current intensity, 150 and 180A, due to the higher interaction with the substrate (</w:t>
      </w:r>
      <w:r w:rsidR="002F0C15" w:rsidRPr="00EB0694">
        <w:rPr>
          <w:b/>
          <w:highlight w:val="yellow"/>
        </w:rPr>
        <w:t>26 and 38 % dilution</w:t>
      </w:r>
      <w:r w:rsidR="00EB0694" w:rsidRPr="00EB0694">
        <w:rPr>
          <w:b/>
          <w:highlight w:val="yellow"/>
        </w:rPr>
        <w:t>,</w:t>
      </w:r>
      <w:r w:rsidR="00A5063B" w:rsidRPr="00EB0694">
        <w:rPr>
          <w:b/>
          <w:highlight w:val="yellow"/>
        </w:rPr>
        <w:t xml:space="preserve"> respectively).</w:t>
      </w:r>
      <w:r w:rsidR="002F0C15">
        <w:rPr>
          <w:b/>
        </w:rPr>
        <w:t xml:space="preserve"> </w:t>
      </w:r>
      <w:r w:rsidRPr="00F258F4">
        <w:rPr>
          <w:b/>
        </w:rPr>
        <w:t xml:space="preserve">Dilution increased linearly with </w:t>
      </w:r>
      <w:r w:rsidR="002F0C15" w:rsidRPr="002F0C15">
        <w:rPr>
          <w:b/>
          <w:highlight w:val="yellow"/>
        </w:rPr>
        <w:t>the</w:t>
      </w:r>
      <w:r w:rsidR="002F0C15">
        <w:rPr>
          <w:b/>
        </w:rPr>
        <w:t xml:space="preserve"> </w:t>
      </w:r>
      <w:r w:rsidRPr="00F258F4">
        <w:rPr>
          <w:b/>
        </w:rPr>
        <w:t>deposi</w:t>
      </w:r>
      <w:r w:rsidR="002F0C15">
        <w:rPr>
          <w:b/>
        </w:rPr>
        <w:t>tion current, inducing hardness</w:t>
      </w:r>
      <w:r w:rsidR="002301CD" w:rsidRPr="00F258F4">
        <w:rPr>
          <w:b/>
        </w:rPr>
        <w:t xml:space="preserve"> </w:t>
      </w:r>
      <w:r w:rsidRPr="00F258F4">
        <w:rPr>
          <w:b/>
        </w:rPr>
        <w:t>decrease from 702 to 526 HV</w:t>
      </w:r>
      <w:r w:rsidR="00EB48AB">
        <w:rPr>
          <w:b/>
          <w:vertAlign w:val="subscript"/>
        </w:rPr>
        <w:t>0</w:t>
      </w:r>
      <w:r w:rsidR="00EB48AB" w:rsidRPr="00EB48AB">
        <w:rPr>
          <w:b/>
          <w:highlight w:val="yellow"/>
          <w:vertAlign w:val="subscript"/>
        </w:rPr>
        <w:t>.</w:t>
      </w:r>
      <w:r w:rsidRPr="00F258F4">
        <w:rPr>
          <w:b/>
          <w:vertAlign w:val="subscript"/>
        </w:rPr>
        <w:t>5</w:t>
      </w:r>
      <w:r w:rsidRPr="00F258F4">
        <w:rPr>
          <w:b/>
        </w:rPr>
        <w:t>. The wear mass loss rate</w:t>
      </w:r>
      <w:r w:rsidR="00A95EC3">
        <w:rPr>
          <w:b/>
        </w:rPr>
        <w:t xml:space="preserve"> increased up to 41</w:t>
      </w:r>
      <w:r w:rsidR="00A95EC3" w:rsidRPr="00031C4B">
        <w:rPr>
          <w:b/>
          <w:highlight w:val="yellow"/>
        </w:rPr>
        <w:t>.</w:t>
      </w:r>
      <w:r w:rsidRPr="00F258F4">
        <w:rPr>
          <w:b/>
        </w:rPr>
        <w:t xml:space="preserve">7 % as the </w:t>
      </w:r>
      <w:r w:rsidR="00D3460F">
        <w:rPr>
          <w:b/>
        </w:rPr>
        <w:t xml:space="preserve">chemical </w:t>
      </w:r>
      <w:r w:rsidR="005929F3" w:rsidRPr="00F258F4">
        <w:rPr>
          <w:b/>
        </w:rPr>
        <w:t>composition changed from eutectic to hypoeutectic</w:t>
      </w:r>
      <w:r w:rsidRPr="00F258F4">
        <w:rPr>
          <w:b/>
        </w:rPr>
        <w:t xml:space="preserve">. </w:t>
      </w:r>
      <w:r w:rsidR="002F0C15" w:rsidRPr="00EB0694">
        <w:rPr>
          <w:b/>
          <w:highlight w:val="yellow"/>
        </w:rPr>
        <w:t>The f</w:t>
      </w:r>
      <w:r w:rsidRPr="00EB0694">
        <w:rPr>
          <w:b/>
          <w:highlight w:val="yellow"/>
        </w:rPr>
        <w:t>riction coefficient (</w:t>
      </w:r>
      <w:r w:rsidRPr="00EB0694">
        <w:rPr>
          <w:b/>
          <w:highlight w:val="yellow"/>
        </w:rPr>
        <w:sym w:font="Symbol" w:char="F06D"/>
      </w:r>
      <w:r w:rsidR="00031C4B" w:rsidRPr="00EB0694">
        <w:rPr>
          <w:b/>
          <w:highlight w:val="yellow"/>
        </w:rPr>
        <w:t xml:space="preserve">) </w:t>
      </w:r>
      <w:r w:rsidR="002F0C15" w:rsidRPr="00EB0694">
        <w:rPr>
          <w:b/>
          <w:highlight w:val="yellow"/>
        </w:rPr>
        <w:t xml:space="preserve">ranged </w:t>
      </w:r>
      <w:r w:rsidR="00031C4B" w:rsidRPr="00EB0694">
        <w:rPr>
          <w:b/>
          <w:highlight w:val="yellow"/>
        </w:rPr>
        <w:t xml:space="preserve">from 0.45 </w:t>
      </w:r>
      <w:r w:rsidR="00A5063B" w:rsidRPr="00EB0694">
        <w:rPr>
          <w:b/>
          <w:highlight w:val="yellow"/>
        </w:rPr>
        <w:t xml:space="preserve">to </w:t>
      </w:r>
      <w:r w:rsidR="00031C4B" w:rsidRPr="00EB0694">
        <w:rPr>
          <w:b/>
          <w:highlight w:val="yellow"/>
        </w:rPr>
        <w:t>1.</w:t>
      </w:r>
      <w:r w:rsidRPr="00EB0694">
        <w:rPr>
          <w:b/>
          <w:highlight w:val="yellow"/>
        </w:rPr>
        <w:t xml:space="preserve">06 </w:t>
      </w:r>
      <w:r w:rsidR="00A5063B" w:rsidRPr="00EB0694">
        <w:rPr>
          <w:b/>
          <w:highlight w:val="yellow"/>
        </w:rPr>
        <w:t xml:space="preserve">for </w:t>
      </w:r>
      <w:r w:rsidRPr="00EB0694">
        <w:rPr>
          <w:b/>
          <w:highlight w:val="yellow"/>
        </w:rPr>
        <w:t xml:space="preserve">eutectic and hypoeutectic microstructure, respectively. </w:t>
      </w:r>
      <w:r w:rsidR="002F0C15" w:rsidRPr="00EB0694">
        <w:rPr>
          <w:b/>
          <w:highlight w:val="yellow"/>
        </w:rPr>
        <w:t>The interaction with the s</w:t>
      </w:r>
      <w:r w:rsidRPr="00EB0694">
        <w:rPr>
          <w:b/>
          <w:highlight w:val="yellow"/>
        </w:rPr>
        <w:t xml:space="preserve">ubstrate dictated </w:t>
      </w:r>
      <w:r w:rsidR="00A5063B" w:rsidRPr="00EB0694">
        <w:rPr>
          <w:b/>
          <w:highlight w:val="yellow"/>
        </w:rPr>
        <w:t xml:space="preserve">developed phases </w:t>
      </w:r>
      <w:r w:rsidR="00A8231A" w:rsidRPr="00EB0694">
        <w:rPr>
          <w:b/>
          <w:highlight w:val="yellow"/>
        </w:rPr>
        <w:t>rate</w:t>
      </w:r>
      <w:r w:rsidR="002F0C15" w:rsidRPr="00EB0694">
        <w:rPr>
          <w:b/>
          <w:highlight w:val="yellow"/>
        </w:rPr>
        <w:t>,</w:t>
      </w:r>
      <w:r w:rsidRPr="00EB0694">
        <w:rPr>
          <w:b/>
          <w:highlight w:val="yellow"/>
        </w:rPr>
        <w:t xml:space="preserve"> determining the volume fraction of Laves phase and</w:t>
      </w:r>
      <w:r w:rsidR="002459B0" w:rsidRPr="00EB0694">
        <w:rPr>
          <w:b/>
          <w:highlight w:val="yellow"/>
        </w:rPr>
        <w:t>,</w:t>
      </w:r>
      <w:r w:rsidRPr="00EB0694">
        <w:rPr>
          <w:b/>
          <w:highlight w:val="yellow"/>
        </w:rPr>
        <w:t xml:space="preserve"> </w:t>
      </w:r>
      <w:r w:rsidR="002459B0" w:rsidRPr="00EB0694">
        <w:rPr>
          <w:b/>
          <w:highlight w:val="yellow"/>
        </w:rPr>
        <w:t>as a consequence,</w:t>
      </w:r>
      <w:r w:rsidR="002F0C15" w:rsidRPr="00EB0694">
        <w:rPr>
          <w:b/>
          <w:highlight w:val="yellow"/>
        </w:rPr>
        <w:t xml:space="preserve"> </w:t>
      </w:r>
      <w:r w:rsidRPr="00EB0694">
        <w:rPr>
          <w:b/>
          <w:highlight w:val="yellow"/>
        </w:rPr>
        <w:t>coatings</w:t>
      </w:r>
      <w:r w:rsidR="00A8231A" w:rsidRPr="00EB0694">
        <w:rPr>
          <w:b/>
          <w:highlight w:val="yellow"/>
        </w:rPr>
        <w:t xml:space="preserve"> properties</w:t>
      </w:r>
      <w:r w:rsidRPr="00EB0694">
        <w:rPr>
          <w:b/>
          <w:highlight w:val="yellow"/>
        </w:rPr>
        <w:t>.</w:t>
      </w:r>
    </w:p>
    <w:p w:rsidR="001A2B08" w:rsidRDefault="001A2B08" w:rsidP="007A3EE6">
      <w:pPr>
        <w:spacing w:line="480" w:lineRule="auto"/>
        <w:jc w:val="both"/>
      </w:pPr>
      <w:r w:rsidRPr="006363D5">
        <w:rPr>
          <w:b/>
        </w:rPr>
        <w:t>Keywords</w:t>
      </w:r>
      <w:r w:rsidRPr="006363D5">
        <w:t xml:space="preserve">: </w:t>
      </w:r>
      <w:proofErr w:type="spellStart"/>
      <w:r w:rsidRPr="006363D5">
        <w:t>CoMoCrSi</w:t>
      </w:r>
      <w:proofErr w:type="spellEnd"/>
      <w:r w:rsidRPr="006363D5">
        <w:t xml:space="preserve"> Alloy, Plasma Tra</w:t>
      </w:r>
      <w:r w:rsidR="00295C70" w:rsidRPr="006363D5">
        <w:t xml:space="preserve">nsferred Arc, </w:t>
      </w:r>
      <w:r w:rsidR="0033205D" w:rsidRPr="006363D5">
        <w:t>Dilution, Microstructure</w:t>
      </w:r>
      <w:r w:rsidR="00383A10" w:rsidRPr="006363D5">
        <w:t>, Wear Behavior</w:t>
      </w:r>
      <w:r w:rsidR="005B2F06" w:rsidRPr="006363D5">
        <w:t>.</w:t>
      </w:r>
    </w:p>
    <w:p w:rsidR="00484D12" w:rsidRPr="006363D5" w:rsidRDefault="00484D12" w:rsidP="007A3EE6">
      <w:pPr>
        <w:spacing w:line="480" w:lineRule="auto"/>
        <w:jc w:val="both"/>
      </w:pPr>
    </w:p>
    <w:p w:rsidR="00290CA8" w:rsidRPr="00FB44C4" w:rsidRDefault="00290CA8" w:rsidP="007A3EE6">
      <w:pPr>
        <w:spacing w:line="480" w:lineRule="auto"/>
        <w:jc w:val="both"/>
        <w:rPr>
          <w:b/>
        </w:rPr>
      </w:pPr>
      <w:r w:rsidRPr="00FB44C4">
        <w:rPr>
          <w:b/>
        </w:rPr>
        <w:t>1. Introduction</w:t>
      </w:r>
    </w:p>
    <w:p w:rsidR="00290CA8" w:rsidRPr="00FB44C4" w:rsidRDefault="009F1C64" w:rsidP="005D7037">
      <w:pPr>
        <w:spacing w:line="480" w:lineRule="auto"/>
        <w:ind w:firstLine="708"/>
        <w:jc w:val="both"/>
      </w:pPr>
      <w:r w:rsidRPr="00F00EB2">
        <w:rPr>
          <w:highlight w:val="yellow"/>
        </w:rPr>
        <w:t>High</w:t>
      </w:r>
      <w:r w:rsidR="00A47CF4" w:rsidRPr="00F00EB2">
        <w:rPr>
          <w:highlight w:val="yellow"/>
        </w:rPr>
        <w:t xml:space="preserve"> performance </w:t>
      </w:r>
      <w:r w:rsidR="00995FA8" w:rsidRPr="00F00EB2">
        <w:rPr>
          <w:highlight w:val="yellow"/>
        </w:rPr>
        <w:t>c</w:t>
      </w:r>
      <w:r w:rsidR="00464497" w:rsidRPr="00F00EB2">
        <w:rPr>
          <w:highlight w:val="yellow"/>
        </w:rPr>
        <w:t xml:space="preserve">oatings </w:t>
      </w:r>
      <w:r w:rsidR="000C6B37" w:rsidRPr="00F00EB2">
        <w:rPr>
          <w:highlight w:val="yellow"/>
        </w:rPr>
        <w:t xml:space="preserve">have been applied to protect </w:t>
      </w:r>
      <w:r w:rsidR="00982BB7" w:rsidRPr="00F00EB2">
        <w:rPr>
          <w:highlight w:val="yellow"/>
        </w:rPr>
        <w:t xml:space="preserve">components which </w:t>
      </w:r>
      <w:r w:rsidR="00290CA8" w:rsidRPr="00F00EB2">
        <w:rPr>
          <w:highlight w:val="yellow"/>
        </w:rPr>
        <w:t xml:space="preserve">operate under </w:t>
      </w:r>
      <w:r w:rsidR="009159FD" w:rsidRPr="00F00EB2">
        <w:rPr>
          <w:highlight w:val="yellow"/>
        </w:rPr>
        <w:t>aggressive</w:t>
      </w:r>
      <w:r w:rsidRPr="00F00EB2">
        <w:rPr>
          <w:highlight w:val="yellow"/>
        </w:rPr>
        <w:t xml:space="preserve"> environment</w:t>
      </w:r>
      <w:r w:rsidR="001454DC" w:rsidRPr="00F00EB2">
        <w:rPr>
          <w:highlight w:val="yellow"/>
        </w:rPr>
        <w:t>s</w:t>
      </w:r>
      <w:r w:rsidR="000C6B37" w:rsidRPr="00F00EB2">
        <w:rPr>
          <w:highlight w:val="yellow"/>
        </w:rPr>
        <w:t>,</w:t>
      </w:r>
      <w:r w:rsidR="00290CA8" w:rsidRPr="00F00EB2">
        <w:rPr>
          <w:highlight w:val="yellow"/>
        </w:rPr>
        <w:t xml:space="preserve"> </w:t>
      </w:r>
      <w:r w:rsidR="00464497" w:rsidRPr="00F00EB2">
        <w:rPr>
          <w:highlight w:val="yellow"/>
        </w:rPr>
        <w:t>aiming</w:t>
      </w:r>
      <w:r w:rsidR="00982BB7" w:rsidRPr="00F00EB2">
        <w:rPr>
          <w:highlight w:val="yellow"/>
        </w:rPr>
        <w:t xml:space="preserve"> </w:t>
      </w:r>
      <w:r w:rsidRPr="00F00EB2">
        <w:rPr>
          <w:highlight w:val="yellow"/>
        </w:rPr>
        <w:t xml:space="preserve">to reduce </w:t>
      </w:r>
      <w:r w:rsidR="00147AB1" w:rsidRPr="00F00EB2">
        <w:rPr>
          <w:highlight w:val="yellow"/>
        </w:rPr>
        <w:t xml:space="preserve">material </w:t>
      </w:r>
      <w:r w:rsidR="000C6B37" w:rsidRPr="00F00EB2">
        <w:rPr>
          <w:highlight w:val="yellow"/>
        </w:rPr>
        <w:t>cost</w:t>
      </w:r>
      <w:r w:rsidR="00464497" w:rsidRPr="00F00EB2">
        <w:rPr>
          <w:highlight w:val="yellow"/>
        </w:rPr>
        <w:t xml:space="preserve"> </w:t>
      </w:r>
      <w:r w:rsidR="00982BB7" w:rsidRPr="00F00EB2">
        <w:rPr>
          <w:highlight w:val="yellow"/>
        </w:rPr>
        <w:t xml:space="preserve">and </w:t>
      </w:r>
      <w:r w:rsidR="00290CA8" w:rsidRPr="00F00EB2">
        <w:rPr>
          <w:highlight w:val="yellow"/>
        </w:rPr>
        <w:t xml:space="preserve">maintenance </w:t>
      </w:r>
      <w:r w:rsidR="00F00EB2" w:rsidRPr="00F00EB2">
        <w:rPr>
          <w:highlight w:val="yellow"/>
        </w:rPr>
        <w:t>stops.</w:t>
      </w:r>
      <w:r w:rsidR="007640B2" w:rsidRPr="00FB44C4">
        <w:t xml:space="preserve"> </w:t>
      </w:r>
      <w:r w:rsidR="00EF1972" w:rsidRPr="00F00EB2">
        <w:rPr>
          <w:highlight w:val="yellow"/>
        </w:rPr>
        <w:t xml:space="preserve">Recent </w:t>
      </w:r>
      <w:r w:rsidR="00855342" w:rsidRPr="00F00EB2">
        <w:rPr>
          <w:highlight w:val="yellow"/>
        </w:rPr>
        <w:lastRenderedPageBreak/>
        <w:t xml:space="preserve">review on </w:t>
      </w:r>
      <w:r w:rsidR="00EF1972" w:rsidRPr="00F00EB2">
        <w:rPr>
          <w:highlight w:val="yellow"/>
        </w:rPr>
        <w:t>P</w:t>
      </w:r>
      <w:r w:rsidR="00290CA8" w:rsidRPr="00F00EB2">
        <w:rPr>
          <w:highlight w:val="yellow"/>
        </w:rPr>
        <w:t xml:space="preserve">lasma Transferred Arc (PTA) </w:t>
      </w:r>
      <w:r w:rsidR="00855342" w:rsidRPr="00F00EB2">
        <w:rPr>
          <w:highlight w:val="yellow"/>
        </w:rPr>
        <w:t xml:space="preserve">has </w:t>
      </w:r>
      <w:r w:rsidR="00EF1972" w:rsidRPr="00F00EB2">
        <w:rPr>
          <w:highlight w:val="yellow"/>
        </w:rPr>
        <w:t xml:space="preserve">pointed out the features that make the technique </w:t>
      </w:r>
      <w:r w:rsidR="009159FD" w:rsidRPr="00F00EB2">
        <w:rPr>
          <w:highlight w:val="yellow"/>
        </w:rPr>
        <w:t>a</w:t>
      </w:r>
      <w:r w:rsidR="007640B2" w:rsidRPr="00F00EB2">
        <w:rPr>
          <w:highlight w:val="yellow"/>
        </w:rPr>
        <w:t xml:space="preserve">n attractive and </w:t>
      </w:r>
      <w:r w:rsidR="009159FD" w:rsidRPr="00F00EB2">
        <w:rPr>
          <w:highlight w:val="yellow"/>
        </w:rPr>
        <w:t>competitive procedure</w:t>
      </w:r>
      <w:r w:rsidR="00B1511A" w:rsidRPr="00F00EB2">
        <w:rPr>
          <w:highlight w:val="yellow"/>
        </w:rPr>
        <w:t> (Ref </w:t>
      </w:r>
      <w:r w:rsidR="00CD3260" w:rsidRPr="00F00EB2">
        <w:rPr>
          <w:highlight w:val="yellow"/>
        </w:rPr>
        <w:t>1)</w:t>
      </w:r>
      <w:r w:rsidR="008E4B0C" w:rsidRPr="00F00EB2">
        <w:rPr>
          <w:highlight w:val="yellow"/>
        </w:rPr>
        <w:t>.</w:t>
      </w:r>
    </w:p>
    <w:p w:rsidR="009C39D5" w:rsidRDefault="001C375B" w:rsidP="005706D0">
      <w:pPr>
        <w:spacing w:line="480" w:lineRule="auto"/>
        <w:ind w:firstLine="708"/>
        <w:jc w:val="both"/>
      </w:pPr>
      <w:r w:rsidRPr="003A6DC5">
        <w:rPr>
          <w:highlight w:val="yellow"/>
        </w:rPr>
        <w:t xml:space="preserve">Co-based alloys are </w:t>
      </w:r>
      <w:r w:rsidR="00B2790A" w:rsidRPr="003A6DC5">
        <w:rPr>
          <w:highlight w:val="yellow"/>
        </w:rPr>
        <w:t xml:space="preserve">utilized </w:t>
      </w:r>
      <w:r w:rsidRPr="003A6DC5">
        <w:rPr>
          <w:highlight w:val="yellow"/>
        </w:rPr>
        <w:t xml:space="preserve">to increase </w:t>
      </w:r>
      <w:r w:rsidR="009159FD" w:rsidRPr="003A6DC5">
        <w:rPr>
          <w:highlight w:val="yellow"/>
        </w:rPr>
        <w:t xml:space="preserve">life </w:t>
      </w:r>
      <w:r w:rsidR="00B2790A" w:rsidRPr="003A6DC5">
        <w:rPr>
          <w:highlight w:val="yellow"/>
        </w:rPr>
        <w:t xml:space="preserve">service </w:t>
      </w:r>
      <w:r w:rsidR="009159FD" w:rsidRPr="003A6DC5">
        <w:rPr>
          <w:highlight w:val="yellow"/>
        </w:rPr>
        <w:t xml:space="preserve">of </w:t>
      </w:r>
      <w:r w:rsidRPr="003A6DC5">
        <w:rPr>
          <w:highlight w:val="yellow"/>
        </w:rPr>
        <w:t xml:space="preserve">mechanical </w:t>
      </w:r>
      <w:r w:rsidR="009159FD" w:rsidRPr="003A6DC5">
        <w:rPr>
          <w:highlight w:val="yellow"/>
        </w:rPr>
        <w:t>components</w:t>
      </w:r>
      <w:r w:rsidR="00290CA8" w:rsidRPr="003A6DC5">
        <w:rPr>
          <w:highlight w:val="yellow"/>
        </w:rPr>
        <w:t>, in</w:t>
      </w:r>
      <w:r w:rsidR="009159FD" w:rsidRPr="003A6DC5">
        <w:rPr>
          <w:highlight w:val="yellow"/>
        </w:rPr>
        <w:t>cluding</w:t>
      </w:r>
      <w:r w:rsidRPr="003A6DC5">
        <w:rPr>
          <w:highlight w:val="yellow"/>
        </w:rPr>
        <w:t xml:space="preserve"> valves and</w:t>
      </w:r>
      <w:r w:rsidR="00290CA8" w:rsidRPr="003A6DC5">
        <w:rPr>
          <w:highlight w:val="yellow"/>
        </w:rPr>
        <w:t xml:space="preserve"> valve seats, bearings</w:t>
      </w:r>
      <w:r w:rsidRPr="003A6DC5">
        <w:rPr>
          <w:highlight w:val="yellow"/>
        </w:rPr>
        <w:t xml:space="preserve"> and</w:t>
      </w:r>
      <w:r w:rsidR="00290CA8" w:rsidRPr="003A6DC5">
        <w:rPr>
          <w:highlight w:val="yellow"/>
        </w:rPr>
        <w:t xml:space="preserve"> bushings, sleeves, dies and punches. </w:t>
      </w:r>
      <w:r w:rsidR="00EC45D4" w:rsidRPr="003A6DC5">
        <w:rPr>
          <w:highlight w:val="yellow"/>
        </w:rPr>
        <w:t>The</w:t>
      </w:r>
      <w:r w:rsidR="00995FA8" w:rsidRPr="003A6DC5">
        <w:rPr>
          <w:highlight w:val="yellow"/>
        </w:rPr>
        <w:t xml:space="preserve">se alloys are applied for </w:t>
      </w:r>
      <w:r w:rsidR="00B2790A" w:rsidRPr="003A6DC5">
        <w:rPr>
          <w:highlight w:val="yellow"/>
        </w:rPr>
        <w:t xml:space="preserve">withstand </w:t>
      </w:r>
      <w:r w:rsidR="00EC45D4" w:rsidRPr="003A6DC5">
        <w:rPr>
          <w:highlight w:val="yellow"/>
        </w:rPr>
        <w:t xml:space="preserve">wear in corrosive mediums </w:t>
      </w:r>
      <w:r w:rsidR="00995FA8" w:rsidRPr="003A6DC5">
        <w:rPr>
          <w:highlight w:val="yellow"/>
        </w:rPr>
        <w:t xml:space="preserve">because of </w:t>
      </w:r>
      <w:r w:rsidR="00B2790A" w:rsidRPr="003A6DC5">
        <w:rPr>
          <w:highlight w:val="yellow"/>
        </w:rPr>
        <w:t xml:space="preserve">their </w:t>
      </w:r>
      <w:r w:rsidR="00EC45D4" w:rsidRPr="003A6DC5">
        <w:rPr>
          <w:highlight w:val="yellow"/>
        </w:rPr>
        <w:t xml:space="preserve">high corrosion resistance, </w:t>
      </w:r>
      <w:r w:rsidR="00B2790A" w:rsidRPr="003A6DC5">
        <w:rPr>
          <w:highlight w:val="yellow"/>
        </w:rPr>
        <w:t xml:space="preserve">meeting </w:t>
      </w:r>
      <w:r w:rsidR="00EC45D4" w:rsidRPr="003A6DC5">
        <w:rPr>
          <w:highlight w:val="yellow"/>
        </w:rPr>
        <w:t xml:space="preserve">application in </w:t>
      </w:r>
      <w:r w:rsidR="00232A18" w:rsidRPr="003A6DC5">
        <w:rPr>
          <w:highlight w:val="yellow"/>
        </w:rPr>
        <w:t>chemical, petrochemical</w:t>
      </w:r>
      <w:r w:rsidR="00EC45D4" w:rsidRPr="003A6DC5">
        <w:rPr>
          <w:highlight w:val="yellow"/>
        </w:rPr>
        <w:t xml:space="preserve"> and steelmaking facilities.</w:t>
      </w:r>
      <w:r w:rsidR="00EC45D4" w:rsidRPr="00FB44C4">
        <w:t xml:space="preserve"> </w:t>
      </w:r>
      <w:r w:rsidR="00290CA8" w:rsidRPr="00FB44C4">
        <w:t>Chromium</w:t>
      </w:r>
      <w:r w:rsidR="00B473D0" w:rsidRPr="00FB44C4">
        <w:t xml:space="preserve"> act</w:t>
      </w:r>
      <w:r w:rsidR="00883B4D">
        <w:t>s</w:t>
      </w:r>
      <w:r w:rsidR="00290CA8" w:rsidRPr="00FB44C4">
        <w:t xml:space="preserve"> as a solid solution </w:t>
      </w:r>
      <w:r w:rsidR="00396171" w:rsidRPr="00FB44C4">
        <w:t>strengthener</w:t>
      </w:r>
      <w:r w:rsidR="00290CA8" w:rsidRPr="00FB44C4">
        <w:t xml:space="preserve">, contributing </w:t>
      </w:r>
      <w:r w:rsidR="00476395" w:rsidRPr="00FB44C4">
        <w:t>to enhance corrosion resistance</w:t>
      </w:r>
      <w:r w:rsidR="00B473D0" w:rsidRPr="00FB44C4">
        <w:t xml:space="preserve">. </w:t>
      </w:r>
      <w:r w:rsidR="00B473D0" w:rsidRPr="0097163B">
        <w:rPr>
          <w:highlight w:val="yellow"/>
        </w:rPr>
        <w:t>However,</w:t>
      </w:r>
      <w:r w:rsidR="00613C22" w:rsidRPr="0097163B">
        <w:rPr>
          <w:highlight w:val="yellow"/>
        </w:rPr>
        <w:t xml:space="preserve"> </w:t>
      </w:r>
      <w:r w:rsidR="00B473D0" w:rsidRPr="0097163B">
        <w:rPr>
          <w:highlight w:val="yellow"/>
        </w:rPr>
        <w:t xml:space="preserve">service </w:t>
      </w:r>
      <w:r w:rsidR="00232A18" w:rsidRPr="0097163B">
        <w:rPr>
          <w:highlight w:val="yellow"/>
        </w:rPr>
        <w:t>condition</w:t>
      </w:r>
      <w:r w:rsidR="00314AA4" w:rsidRPr="0097163B">
        <w:rPr>
          <w:highlight w:val="yellow"/>
        </w:rPr>
        <w:t xml:space="preserve"> </w:t>
      </w:r>
      <w:r w:rsidR="00B473D0" w:rsidRPr="0097163B">
        <w:rPr>
          <w:highlight w:val="yellow"/>
        </w:rPr>
        <w:t>involving</w:t>
      </w:r>
      <w:r w:rsidR="004B1B2E" w:rsidRPr="0097163B">
        <w:rPr>
          <w:highlight w:val="yellow"/>
        </w:rPr>
        <w:t xml:space="preserve"> </w:t>
      </w:r>
      <w:r w:rsidR="00290CA8" w:rsidRPr="0097163B">
        <w:rPr>
          <w:highlight w:val="yellow"/>
        </w:rPr>
        <w:t xml:space="preserve">corrosion-wear </w:t>
      </w:r>
      <w:r w:rsidR="00314AA4" w:rsidRPr="0097163B">
        <w:rPr>
          <w:highlight w:val="yellow"/>
        </w:rPr>
        <w:t xml:space="preserve">phenomena </w:t>
      </w:r>
      <w:r w:rsidR="00A76DC8" w:rsidRPr="0097163B">
        <w:rPr>
          <w:highlight w:val="yellow"/>
        </w:rPr>
        <w:t xml:space="preserve">is </w:t>
      </w:r>
      <w:r w:rsidR="00B473D0" w:rsidRPr="0097163B">
        <w:rPr>
          <w:highlight w:val="yellow"/>
        </w:rPr>
        <w:t>still a challenge</w:t>
      </w:r>
      <w:r w:rsidR="00290CA8" w:rsidRPr="0097163B">
        <w:rPr>
          <w:highlight w:val="yellow"/>
        </w:rPr>
        <w:t xml:space="preserve">. Corrosion-wear can cause </w:t>
      </w:r>
      <w:r w:rsidR="00B2790A" w:rsidRPr="0097163B">
        <w:rPr>
          <w:highlight w:val="yellow"/>
        </w:rPr>
        <w:t xml:space="preserve">surface </w:t>
      </w:r>
      <w:r w:rsidR="00290CA8" w:rsidRPr="0097163B">
        <w:rPr>
          <w:highlight w:val="yellow"/>
        </w:rPr>
        <w:t xml:space="preserve">material </w:t>
      </w:r>
      <w:r w:rsidR="00B2790A" w:rsidRPr="0097163B">
        <w:rPr>
          <w:highlight w:val="yellow"/>
        </w:rPr>
        <w:t xml:space="preserve">loss </w:t>
      </w:r>
      <w:r w:rsidR="00290CA8" w:rsidRPr="0097163B">
        <w:rPr>
          <w:highlight w:val="yellow"/>
        </w:rPr>
        <w:t xml:space="preserve">as a result of mechanical-chemical </w:t>
      </w:r>
      <w:r w:rsidR="008D0A9C" w:rsidRPr="0097163B">
        <w:rPr>
          <w:highlight w:val="yellow"/>
        </w:rPr>
        <w:t>inter</w:t>
      </w:r>
      <w:r w:rsidR="00290CA8" w:rsidRPr="0097163B">
        <w:rPr>
          <w:highlight w:val="yellow"/>
        </w:rPr>
        <w:t xml:space="preserve">action and </w:t>
      </w:r>
      <w:r w:rsidR="008D0A9C" w:rsidRPr="0097163B">
        <w:rPr>
          <w:highlight w:val="yellow"/>
        </w:rPr>
        <w:t xml:space="preserve">the </w:t>
      </w:r>
      <w:r w:rsidR="00B2790A" w:rsidRPr="0097163B">
        <w:rPr>
          <w:highlight w:val="yellow"/>
        </w:rPr>
        <w:t xml:space="preserve">produced </w:t>
      </w:r>
      <w:r w:rsidR="00290CA8" w:rsidRPr="0097163B">
        <w:rPr>
          <w:highlight w:val="yellow"/>
        </w:rPr>
        <w:t xml:space="preserve">wear debris </w:t>
      </w:r>
      <w:r w:rsidR="00B2790A" w:rsidRPr="0097163B">
        <w:rPr>
          <w:highlight w:val="yellow"/>
        </w:rPr>
        <w:t xml:space="preserve">will cause components life service </w:t>
      </w:r>
      <w:r w:rsidR="00290CA8" w:rsidRPr="0097163B">
        <w:rPr>
          <w:highlight w:val="yellow"/>
        </w:rPr>
        <w:t>reduc</w:t>
      </w:r>
      <w:r w:rsidR="00B2790A" w:rsidRPr="0097163B">
        <w:rPr>
          <w:highlight w:val="yellow"/>
        </w:rPr>
        <w:t>tion</w:t>
      </w:r>
      <w:r w:rsidR="0097163B" w:rsidRPr="0097163B">
        <w:rPr>
          <w:highlight w:val="yellow"/>
        </w:rPr>
        <w:t>,</w:t>
      </w:r>
      <w:r w:rsidR="00290CA8" w:rsidRPr="0097163B">
        <w:rPr>
          <w:highlight w:val="yellow"/>
        </w:rPr>
        <w:t xml:space="preserve"> </w:t>
      </w:r>
      <w:r w:rsidR="00B2790A" w:rsidRPr="0097163B">
        <w:rPr>
          <w:highlight w:val="yellow"/>
        </w:rPr>
        <w:t xml:space="preserve">like it can be observed on </w:t>
      </w:r>
      <w:r w:rsidR="009C39D5" w:rsidRPr="0097163B">
        <w:rPr>
          <w:highlight w:val="yellow"/>
        </w:rPr>
        <w:t>Hot-Dip Galvanizing bearings (Ref 2-4).</w:t>
      </w:r>
    </w:p>
    <w:p w:rsidR="00290CA8" w:rsidRPr="00FB44C4" w:rsidRDefault="000375D2" w:rsidP="005706D0">
      <w:pPr>
        <w:spacing w:line="480" w:lineRule="auto"/>
        <w:ind w:firstLine="708"/>
        <w:jc w:val="both"/>
      </w:pPr>
      <w:r w:rsidRPr="0047436C">
        <w:rPr>
          <w:highlight w:val="yellow"/>
        </w:rPr>
        <w:t>C</w:t>
      </w:r>
      <w:r w:rsidR="00003ACB" w:rsidRPr="0047436C">
        <w:rPr>
          <w:highlight w:val="yellow"/>
        </w:rPr>
        <w:t xml:space="preserve">o-based </w:t>
      </w:r>
      <w:proofErr w:type="spellStart"/>
      <w:r w:rsidRPr="0047436C">
        <w:rPr>
          <w:highlight w:val="yellow"/>
        </w:rPr>
        <w:t>CoCrMoSi</w:t>
      </w:r>
      <w:proofErr w:type="spellEnd"/>
      <w:r w:rsidR="00362A4F" w:rsidRPr="0047436C">
        <w:rPr>
          <w:highlight w:val="yellow"/>
        </w:rPr>
        <w:t xml:space="preserve"> </w:t>
      </w:r>
      <w:r w:rsidR="0047436C" w:rsidRPr="0047436C">
        <w:rPr>
          <w:highlight w:val="yellow"/>
        </w:rPr>
        <w:t>s</w:t>
      </w:r>
      <w:r w:rsidRPr="0047436C">
        <w:rPr>
          <w:highlight w:val="yellow"/>
        </w:rPr>
        <w:t xml:space="preserve">ystem </w:t>
      </w:r>
      <w:r w:rsidR="00003ACB" w:rsidRPr="0047436C">
        <w:rPr>
          <w:highlight w:val="yellow"/>
        </w:rPr>
        <w:t xml:space="preserve">has been shown </w:t>
      </w:r>
      <w:r w:rsidRPr="0047436C">
        <w:rPr>
          <w:highlight w:val="yellow"/>
        </w:rPr>
        <w:t>b</w:t>
      </w:r>
      <w:r w:rsidR="00290CA8" w:rsidRPr="0047436C">
        <w:rPr>
          <w:highlight w:val="yellow"/>
        </w:rPr>
        <w:t>etter results</w:t>
      </w:r>
      <w:r w:rsidR="00003ACB" w:rsidRPr="0047436C">
        <w:rPr>
          <w:highlight w:val="yellow"/>
        </w:rPr>
        <w:t xml:space="preserve"> </w:t>
      </w:r>
      <w:r w:rsidR="00787A32" w:rsidRPr="0047436C">
        <w:rPr>
          <w:highlight w:val="yellow"/>
        </w:rPr>
        <w:t>operating</w:t>
      </w:r>
      <w:r w:rsidRPr="0047436C">
        <w:rPr>
          <w:highlight w:val="yellow"/>
        </w:rPr>
        <w:t xml:space="preserve"> u</w:t>
      </w:r>
      <w:r w:rsidR="00003ACB" w:rsidRPr="0047436C">
        <w:rPr>
          <w:highlight w:val="yellow"/>
        </w:rPr>
        <w:t>nder harsh environment</w:t>
      </w:r>
      <w:r w:rsidR="004456B3" w:rsidRPr="0047436C">
        <w:rPr>
          <w:highlight w:val="yellow"/>
        </w:rPr>
        <w:t>s</w:t>
      </w:r>
      <w:r w:rsidR="00290CA8" w:rsidRPr="0047436C">
        <w:rPr>
          <w:highlight w:val="yellow"/>
        </w:rPr>
        <w:t xml:space="preserve">. </w:t>
      </w:r>
      <w:r w:rsidR="00787A32" w:rsidRPr="0047436C">
        <w:rPr>
          <w:highlight w:val="yellow"/>
        </w:rPr>
        <w:t>Th</w:t>
      </w:r>
      <w:r w:rsidR="00C36115" w:rsidRPr="0047436C">
        <w:rPr>
          <w:highlight w:val="yellow"/>
        </w:rPr>
        <w:t>is</w:t>
      </w:r>
      <w:r w:rsidR="000570A5" w:rsidRPr="0047436C">
        <w:rPr>
          <w:highlight w:val="yellow"/>
        </w:rPr>
        <w:t xml:space="preserve"> </w:t>
      </w:r>
      <w:r w:rsidR="00003ACB" w:rsidRPr="0047436C">
        <w:rPr>
          <w:highlight w:val="yellow"/>
        </w:rPr>
        <w:t>alloy system</w:t>
      </w:r>
      <w:r w:rsidR="00866DA0" w:rsidRPr="0047436C">
        <w:rPr>
          <w:highlight w:val="yellow"/>
        </w:rPr>
        <w:t xml:space="preserve"> </w:t>
      </w:r>
      <w:r w:rsidR="00A4290D" w:rsidRPr="0047436C">
        <w:rPr>
          <w:highlight w:val="yellow"/>
        </w:rPr>
        <w:t xml:space="preserve">exhibits </w:t>
      </w:r>
      <w:r w:rsidR="00787A32" w:rsidRPr="0047436C">
        <w:rPr>
          <w:highlight w:val="yellow"/>
        </w:rPr>
        <w:t xml:space="preserve">hypereutectic </w:t>
      </w:r>
      <w:r w:rsidR="00003ACB" w:rsidRPr="0047436C">
        <w:rPr>
          <w:highlight w:val="yellow"/>
        </w:rPr>
        <w:t xml:space="preserve">composition composed by </w:t>
      </w:r>
      <w:r w:rsidR="00A4290D" w:rsidRPr="0047436C">
        <w:rPr>
          <w:highlight w:val="yellow"/>
        </w:rPr>
        <w:t xml:space="preserve">a </w:t>
      </w:r>
      <w:r w:rsidR="00003ACB" w:rsidRPr="0047436C">
        <w:rPr>
          <w:highlight w:val="yellow"/>
        </w:rPr>
        <w:t xml:space="preserve">primary </w:t>
      </w:r>
      <w:r w:rsidR="00290CA8" w:rsidRPr="0047436C">
        <w:rPr>
          <w:highlight w:val="yellow"/>
        </w:rPr>
        <w:t xml:space="preserve">Laves </w:t>
      </w:r>
      <w:r w:rsidR="009061EF" w:rsidRPr="0047436C">
        <w:rPr>
          <w:highlight w:val="yellow"/>
        </w:rPr>
        <w:t xml:space="preserve">phase </w:t>
      </w:r>
      <w:r w:rsidR="00003ACB" w:rsidRPr="0047436C">
        <w:rPr>
          <w:highlight w:val="yellow"/>
        </w:rPr>
        <w:t xml:space="preserve">and </w:t>
      </w:r>
      <w:r w:rsidR="00A4290D" w:rsidRPr="0047436C">
        <w:rPr>
          <w:highlight w:val="yellow"/>
        </w:rPr>
        <w:t xml:space="preserve">a </w:t>
      </w:r>
      <w:r w:rsidR="009159FD" w:rsidRPr="0047436C">
        <w:rPr>
          <w:highlight w:val="yellow"/>
        </w:rPr>
        <w:t>lamellar</w:t>
      </w:r>
      <w:r w:rsidR="00003ACB" w:rsidRPr="0047436C">
        <w:rPr>
          <w:highlight w:val="yellow"/>
        </w:rPr>
        <w:t xml:space="preserve"> eutectic</w:t>
      </w:r>
      <w:r w:rsidR="00A4290D" w:rsidRPr="0047436C">
        <w:rPr>
          <w:highlight w:val="yellow"/>
        </w:rPr>
        <w:t xml:space="preserve"> phase</w:t>
      </w:r>
      <w:r w:rsidR="00290CA8" w:rsidRPr="0047436C">
        <w:rPr>
          <w:highlight w:val="yellow"/>
        </w:rPr>
        <w:t xml:space="preserve">. The </w:t>
      </w:r>
      <w:r w:rsidR="00A4290D" w:rsidRPr="0047436C">
        <w:rPr>
          <w:highlight w:val="yellow"/>
        </w:rPr>
        <w:t xml:space="preserve">Laves </w:t>
      </w:r>
      <w:proofErr w:type="spellStart"/>
      <w:r w:rsidR="00290CA8" w:rsidRPr="0047436C">
        <w:rPr>
          <w:highlight w:val="yellow"/>
        </w:rPr>
        <w:t>intermetallic</w:t>
      </w:r>
      <w:proofErr w:type="spellEnd"/>
      <w:r w:rsidR="00290CA8" w:rsidRPr="0047436C">
        <w:rPr>
          <w:highlight w:val="yellow"/>
        </w:rPr>
        <w:t xml:space="preserve"> is </w:t>
      </w:r>
      <w:r w:rsidR="00A4290D" w:rsidRPr="0047436C">
        <w:rPr>
          <w:highlight w:val="yellow"/>
        </w:rPr>
        <w:t xml:space="preserve">a </w:t>
      </w:r>
      <w:r w:rsidR="00290CA8" w:rsidRPr="0047436C">
        <w:rPr>
          <w:highlight w:val="yellow"/>
        </w:rPr>
        <w:t>close-packed hexagonal (</w:t>
      </w:r>
      <w:proofErr w:type="spellStart"/>
      <w:r w:rsidR="00290CA8" w:rsidRPr="0047436C">
        <w:rPr>
          <w:highlight w:val="yellow"/>
        </w:rPr>
        <w:t>hcp</w:t>
      </w:r>
      <w:proofErr w:type="spellEnd"/>
      <w:r w:rsidR="00290CA8" w:rsidRPr="0047436C">
        <w:rPr>
          <w:highlight w:val="yellow"/>
        </w:rPr>
        <w:t xml:space="preserve">) compound </w:t>
      </w:r>
      <w:r w:rsidR="00003ACB" w:rsidRPr="0047436C">
        <w:rPr>
          <w:highlight w:val="yellow"/>
        </w:rPr>
        <w:t xml:space="preserve">containing </w:t>
      </w:r>
      <w:r w:rsidR="00290CA8" w:rsidRPr="0047436C">
        <w:rPr>
          <w:highlight w:val="yellow"/>
        </w:rPr>
        <w:t>Co, Mo and Si, as Co</w:t>
      </w:r>
      <w:r w:rsidR="00290CA8" w:rsidRPr="0047436C">
        <w:rPr>
          <w:highlight w:val="yellow"/>
          <w:vertAlign w:val="subscript"/>
        </w:rPr>
        <w:t>3</w:t>
      </w:r>
      <w:r w:rsidR="00290CA8" w:rsidRPr="0047436C">
        <w:rPr>
          <w:highlight w:val="yellow"/>
        </w:rPr>
        <w:t>Mo</w:t>
      </w:r>
      <w:r w:rsidR="00290CA8" w:rsidRPr="0047436C">
        <w:rPr>
          <w:highlight w:val="yellow"/>
          <w:vertAlign w:val="subscript"/>
        </w:rPr>
        <w:t>2</w:t>
      </w:r>
      <w:r w:rsidR="00D21D46" w:rsidRPr="0047436C">
        <w:rPr>
          <w:highlight w:val="yellow"/>
        </w:rPr>
        <w:t xml:space="preserve">Si and/or </w:t>
      </w:r>
      <w:proofErr w:type="spellStart"/>
      <w:r w:rsidR="00D21D46" w:rsidRPr="0047436C">
        <w:rPr>
          <w:highlight w:val="yellow"/>
        </w:rPr>
        <w:t>CoMoSi</w:t>
      </w:r>
      <w:proofErr w:type="spellEnd"/>
      <w:r w:rsidR="003B5ABE" w:rsidRPr="0047436C">
        <w:rPr>
          <w:highlight w:val="yellow"/>
        </w:rPr>
        <w:t xml:space="preserve"> </w:t>
      </w:r>
      <w:proofErr w:type="spellStart"/>
      <w:r w:rsidR="003B5ABE" w:rsidRPr="0047436C">
        <w:rPr>
          <w:highlight w:val="yellow"/>
        </w:rPr>
        <w:t>stoichiometry</w:t>
      </w:r>
      <w:proofErr w:type="spellEnd"/>
      <w:r w:rsidR="00290CA8" w:rsidRPr="0047436C">
        <w:rPr>
          <w:highlight w:val="yellow"/>
        </w:rPr>
        <w:t xml:space="preserve"> </w:t>
      </w:r>
      <w:r w:rsidR="0050089B" w:rsidRPr="0047436C">
        <w:rPr>
          <w:highlight w:val="yellow"/>
        </w:rPr>
        <w:t>(Ref 5)</w:t>
      </w:r>
      <w:r w:rsidR="009061EF" w:rsidRPr="0047436C">
        <w:rPr>
          <w:highlight w:val="yellow"/>
        </w:rPr>
        <w:t>.</w:t>
      </w:r>
    </w:p>
    <w:p w:rsidR="00290CA8" w:rsidRPr="00FB44C4" w:rsidRDefault="003738D1" w:rsidP="005706D0">
      <w:pPr>
        <w:autoSpaceDE w:val="0"/>
        <w:autoSpaceDN w:val="0"/>
        <w:adjustRightInd w:val="0"/>
        <w:spacing w:line="480" w:lineRule="auto"/>
        <w:ind w:firstLine="708"/>
        <w:jc w:val="both"/>
      </w:pPr>
      <w:r w:rsidRPr="0047436C">
        <w:rPr>
          <w:highlight w:val="yellow"/>
        </w:rPr>
        <w:t xml:space="preserve">Despite </w:t>
      </w:r>
      <w:proofErr w:type="spellStart"/>
      <w:r w:rsidR="0094772F" w:rsidRPr="0047436C">
        <w:rPr>
          <w:highlight w:val="yellow"/>
        </w:rPr>
        <w:t>exhibitting</w:t>
      </w:r>
      <w:proofErr w:type="spellEnd"/>
      <w:r w:rsidR="0094772F" w:rsidRPr="0047436C">
        <w:rPr>
          <w:highlight w:val="yellow"/>
        </w:rPr>
        <w:t xml:space="preserve"> </w:t>
      </w:r>
      <w:r w:rsidRPr="0047436C">
        <w:rPr>
          <w:highlight w:val="yellow"/>
        </w:rPr>
        <w:t xml:space="preserve">better results </w:t>
      </w:r>
      <w:r w:rsidR="003B5ABE" w:rsidRPr="0047436C">
        <w:rPr>
          <w:highlight w:val="yellow"/>
        </w:rPr>
        <w:t>for</w:t>
      </w:r>
      <w:r w:rsidRPr="0047436C">
        <w:rPr>
          <w:highlight w:val="yellow"/>
        </w:rPr>
        <w:t xml:space="preserve"> wear </w:t>
      </w:r>
      <w:r w:rsidR="00007B47" w:rsidRPr="0047436C">
        <w:rPr>
          <w:highlight w:val="yellow"/>
        </w:rPr>
        <w:t>and corrosion-wear</w:t>
      </w:r>
      <w:r w:rsidRPr="0047436C">
        <w:rPr>
          <w:highlight w:val="yellow"/>
        </w:rPr>
        <w:t xml:space="preserve">, </w:t>
      </w:r>
      <w:proofErr w:type="spellStart"/>
      <w:r w:rsidR="003B5ABE" w:rsidRPr="0047436C">
        <w:rPr>
          <w:highlight w:val="yellow"/>
        </w:rPr>
        <w:t>CoCrMoSi</w:t>
      </w:r>
      <w:proofErr w:type="spellEnd"/>
      <w:r w:rsidR="003B5ABE" w:rsidRPr="0047436C">
        <w:rPr>
          <w:highlight w:val="yellow"/>
        </w:rPr>
        <w:t xml:space="preserve"> alloy system</w:t>
      </w:r>
      <w:r w:rsidR="00A95BCC" w:rsidRPr="0047436C">
        <w:rPr>
          <w:highlight w:val="yellow"/>
        </w:rPr>
        <w:t xml:space="preserve"> </w:t>
      </w:r>
      <w:r w:rsidR="0094772F" w:rsidRPr="0047436C">
        <w:rPr>
          <w:highlight w:val="yellow"/>
        </w:rPr>
        <w:t xml:space="preserve">has </w:t>
      </w:r>
      <w:r w:rsidR="00290CA8" w:rsidRPr="0047436C">
        <w:rPr>
          <w:highlight w:val="yellow"/>
        </w:rPr>
        <w:t xml:space="preserve">a limited </w:t>
      </w:r>
      <w:r w:rsidR="00EC4596" w:rsidRPr="0047436C">
        <w:rPr>
          <w:highlight w:val="yellow"/>
        </w:rPr>
        <w:t xml:space="preserve">ductility and </w:t>
      </w:r>
      <w:r w:rsidR="00A95BCC" w:rsidRPr="0047436C">
        <w:rPr>
          <w:highlight w:val="yellow"/>
        </w:rPr>
        <w:t xml:space="preserve">toughness </w:t>
      </w:r>
      <w:r w:rsidR="0094772F" w:rsidRPr="0047436C">
        <w:rPr>
          <w:highlight w:val="yellow"/>
        </w:rPr>
        <w:t xml:space="preserve">due to the hard </w:t>
      </w:r>
      <w:proofErr w:type="spellStart"/>
      <w:r w:rsidR="0094772F" w:rsidRPr="0047436C">
        <w:rPr>
          <w:highlight w:val="yellow"/>
        </w:rPr>
        <w:t>intermetallic</w:t>
      </w:r>
      <w:proofErr w:type="spellEnd"/>
      <w:r w:rsidR="0094772F" w:rsidRPr="0047436C">
        <w:rPr>
          <w:highlight w:val="yellow"/>
        </w:rPr>
        <w:t xml:space="preserve"> Laves phase </w:t>
      </w:r>
      <w:r w:rsidR="00A95BCC" w:rsidRPr="0047436C">
        <w:rPr>
          <w:highlight w:val="yellow"/>
        </w:rPr>
        <w:t xml:space="preserve">fraction </w:t>
      </w:r>
      <w:r w:rsidR="00FC463B" w:rsidRPr="0047436C">
        <w:rPr>
          <w:highlight w:val="yellow"/>
        </w:rPr>
        <w:t xml:space="preserve">which can compromise </w:t>
      </w:r>
      <w:r w:rsidR="00A95BCC" w:rsidRPr="0047436C">
        <w:rPr>
          <w:highlight w:val="yellow"/>
        </w:rPr>
        <w:t xml:space="preserve">processing. </w:t>
      </w:r>
      <w:r w:rsidR="00C36115" w:rsidRPr="0047436C">
        <w:rPr>
          <w:highlight w:val="yellow"/>
        </w:rPr>
        <w:t xml:space="preserve">In order to increase </w:t>
      </w:r>
      <w:r w:rsidR="0094772F" w:rsidRPr="0047436C">
        <w:rPr>
          <w:highlight w:val="yellow"/>
        </w:rPr>
        <w:t xml:space="preserve">alloys </w:t>
      </w:r>
      <w:r w:rsidR="00C36115" w:rsidRPr="0047436C">
        <w:rPr>
          <w:highlight w:val="yellow"/>
        </w:rPr>
        <w:t>ductility and toughness</w:t>
      </w:r>
      <w:r w:rsidR="002C7B6E" w:rsidRPr="0047436C">
        <w:rPr>
          <w:highlight w:val="yellow"/>
        </w:rPr>
        <w:t xml:space="preserve"> </w:t>
      </w:r>
      <w:r w:rsidR="00C36115" w:rsidRPr="0047436C">
        <w:rPr>
          <w:highlight w:val="yellow"/>
        </w:rPr>
        <w:t xml:space="preserve">, </w:t>
      </w:r>
      <w:r w:rsidR="0094772F" w:rsidRPr="0047436C">
        <w:rPr>
          <w:highlight w:val="yellow"/>
        </w:rPr>
        <w:t>current intensity was varied from 120 to 180A to increase interaction with the substrate</w:t>
      </w:r>
      <w:r w:rsidR="00A76DC8" w:rsidRPr="0047436C">
        <w:rPr>
          <w:highlight w:val="yellow"/>
        </w:rPr>
        <w:t>,</w:t>
      </w:r>
      <w:r w:rsidR="0094772F" w:rsidRPr="0047436C">
        <w:rPr>
          <w:highlight w:val="yellow"/>
        </w:rPr>
        <w:t xml:space="preserve"> promoting the decrease of proportional Silicon and Molybdenum contents reducing therefore the </w:t>
      </w:r>
      <w:r w:rsidR="0047436C" w:rsidRPr="0047436C">
        <w:rPr>
          <w:highlight w:val="yellow"/>
        </w:rPr>
        <w:t xml:space="preserve">fraction of Laves brittle phase </w:t>
      </w:r>
      <w:r w:rsidR="0050089B" w:rsidRPr="0047436C">
        <w:rPr>
          <w:highlight w:val="yellow"/>
        </w:rPr>
        <w:t>(Ref 6-</w:t>
      </w:r>
      <w:r w:rsidR="00F755C1" w:rsidRPr="0047436C">
        <w:rPr>
          <w:highlight w:val="yellow"/>
        </w:rPr>
        <w:t>8</w:t>
      </w:r>
      <w:r w:rsidR="0050089B" w:rsidRPr="0047436C">
        <w:rPr>
          <w:highlight w:val="yellow"/>
        </w:rPr>
        <w:t>)</w:t>
      </w:r>
      <w:r w:rsidR="00C36115" w:rsidRPr="0047436C">
        <w:rPr>
          <w:highlight w:val="yellow"/>
        </w:rPr>
        <w:t>.</w:t>
      </w:r>
      <w:r w:rsidR="0094772F" w:rsidRPr="0047436C">
        <w:rPr>
          <w:highlight w:val="yellow"/>
        </w:rPr>
        <w:t xml:space="preserve"> As toughness improves, wear performance is expected to reduce.</w:t>
      </w:r>
    </w:p>
    <w:p w:rsidR="0094772F" w:rsidRDefault="00290CA8" w:rsidP="002E12F9">
      <w:pPr>
        <w:spacing w:line="480" w:lineRule="auto"/>
        <w:ind w:firstLine="708"/>
        <w:jc w:val="both"/>
      </w:pPr>
      <w:r w:rsidRPr="00317159">
        <w:rPr>
          <w:highlight w:val="yellow"/>
        </w:rPr>
        <w:t xml:space="preserve">This work </w:t>
      </w:r>
      <w:r w:rsidR="002E4D75" w:rsidRPr="00317159">
        <w:rPr>
          <w:highlight w:val="yellow"/>
        </w:rPr>
        <w:t xml:space="preserve">studied </w:t>
      </w:r>
      <w:proofErr w:type="spellStart"/>
      <w:r w:rsidR="006564AF" w:rsidRPr="00317159">
        <w:rPr>
          <w:highlight w:val="yellow"/>
        </w:rPr>
        <w:t>CoCrMoSi</w:t>
      </w:r>
      <w:proofErr w:type="spellEnd"/>
      <w:r w:rsidR="006564AF" w:rsidRPr="00317159">
        <w:rPr>
          <w:highlight w:val="yellow"/>
        </w:rPr>
        <w:t xml:space="preserve"> alloy </w:t>
      </w:r>
      <w:r w:rsidR="006C61D3" w:rsidRPr="00317159">
        <w:rPr>
          <w:highlight w:val="yellow"/>
        </w:rPr>
        <w:t>(</w:t>
      </w:r>
      <w:proofErr w:type="spellStart"/>
      <w:r w:rsidR="006C61D3" w:rsidRPr="00317159">
        <w:rPr>
          <w:highlight w:val="yellow"/>
        </w:rPr>
        <w:t>Tribaloy</w:t>
      </w:r>
      <w:proofErr w:type="spellEnd"/>
      <w:r w:rsidR="006C61D3" w:rsidRPr="00317159">
        <w:rPr>
          <w:highlight w:val="yellow"/>
        </w:rPr>
        <w:t> </w:t>
      </w:r>
      <w:r w:rsidR="002C7B6E" w:rsidRPr="00317159">
        <w:rPr>
          <w:highlight w:val="yellow"/>
        </w:rPr>
        <w:t xml:space="preserve">T400) </w:t>
      </w:r>
      <w:r w:rsidR="002E4D75" w:rsidRPr="00317159">
        <w:rPr>
          <w:highlight w:val="yellow"/>
        </w:rPr>
        <w:t xml:space="preserve">coatings by Plasma Transferred Arc </w:t>
      </w:r>
      <w:r w:rsidR="0094772F" w:rsidRPr="00317159">
        <w:rPr>
          <w:highlight w:val="yellow"/>
        </w:rPr>
        <w:t xml:space="preserve">evaluating dilution </w:t>
      </w:r>
      <w:r w:rsidR="002E12F9" w:rsidRPr="00317159">
        <w:rPr>
          <w:highlight w:val="yellow"/>
        </w:rPr>
        <w:t xml:space="preserve">effect </w:t>
      </w:r>
      <w:r w:rsidR="002E4D75" w:rsidRPr="00317159">
        <w:rPr>
          <w:highlight w:val="yellow"/>
        </w:rPr>
        <w:t xml:space="preserve">as </w:t>
      </w:r>
      <w:r w:rsidR="0094772F" w:rsidRPr="00317159">
        <w:rPr>
          <w:highlight w:val="yellow"/>
        </w:rPr>
        <w:t xml:space="preserve">an alternative </w:t>
      </w:r>
      <w:r w:rsidR="002E4D75" w:rsidRPr="00317159">
        <w:rPr>
          <w:highlight w:val="yellow"/>
        </w:rPr>
        <w:t xml:space="preserve">to reduce the </w:t>
      </w:r>
      <w:r w:rsidR="00B44B2F" w:rsidRPr="00317159">
        <w:rPr>
          <w:highlight w:val="yellow"/>
        </w:rPr>
        <w:t xml:space="preserve">nature </w:t>
      </w:r>
      <w:r w:rsidR="00EF2618" w:rsidRPr="00317159">
        <w:rPr>
          <w:highlight w:val="yellow"/>
        </w:rPr>
        <w:t xml:space="preserve">excessively brittle </w:t>
      </w:r>
      <w:r w:rsidR="00C36115" w:rsidRPr="00317159">
        <w:rPr>
          <w:highlight w:val="yellow"/>
        </w:rPr>
        <w:t xml:space="preserve">of </w:t>
      </w:r>
      <w:r w:rsidR="0094772F" w:rsidRPr="00317159">
        <w:rPr>
          <w:highlight w:val="yellow"/>
        </w:rPr>
        <w:t>coatings</w:t>
      </w:r>
      <w:r w:rsidR="006564AF" w:rsidRPr="00317159">
        <w:rPr>
          <w:highlight w:val="yellow"/>
        </w:rPr>
        <w:t xml:space="preserve">. </w:t>
      </w:r>
      <w:r w:rsidR="00B04136" w:rsidRPr="00317159">
        <w:rPr>
          <w:highlight w:val="yellow"/>
        </w:rPr>
        <w:t>The h</w:t>
      </w:r>
      <w:r w:rsidR="00A93DAC" w:rsidRPr="00317159">
        <w:rPr>
          <w:highlight w:val="yellow"/>
        </w:rPr>
        <w:t>igher</w:t>
      </w:r>
      <w:r w:rsidR="00B44B2F" w:rsidRPr="00317159">
        <w:rPr>
          <w:highlight w:val="yellow"/>
        </w:rPr>
        <w:t xml:space="preserve"> </w:t>
      </w:r>
      <w:r w:rsidR="00320E8A" w:rsidRPr="00317159">
        <w:rPr>
          <w:highlight w:val="yellow"/>
        </w:rPr>
        <w:t xml:space="preserve">the </w:t>
      </w:r>
      <w:r w:rsidR="006564AF" w:rsidRPr="00317159">
        <w:rPr>
          <w:highlight w:val="yellow"/>
        </w:rPr>
        <w:t>dilution</w:t>
      </w:r>
      <w:r w:rsidR="00B237F1" w:rsidRPr="00317159">
        <w:rPr>
          <w:highlight w:val="yellow"/>
        </w:rPr>
        <w:t>,</w:t>
      </w:r>
      <w:r w:rsidR="00A93DAC" w:rsidRPr="00317159">
        <w:rPr>
          <w:highlight w:val="yellow"/>
        </w:rPr>
        <w:t xml:space="preserve"> the higher I</w:t>
      </w:r>
      <w:r w:rsidR="002E4D75" w:rsidRPr="00317159">
        <w:rPr>
          <w:highlight w:val="yellow"/>
        </w:rPr>
        <w:t>ron</w:t>
      </w:r>
      <w:r w:rsidR="002E12F9" w:rsidRPr="00317159">
        <w:rPr>
          <w:highlight w:val="yellow"/>
        </w:rPr>
        <w:t>,</w:t>
      </w:r>
      <w:r w:rsidR="00320E8A" w:rsidRPr="00317159">
        <w:rPr>
          <w:highlight w:val="yellow"/>
        </w:rPr>
        <w:t xml:space="preserve"> Chromium</w:t>
      </w:r>
      <w:r w:rsidR="002E4D75" w:rsidRPr="00317159">
        <w:rPr>
          <w:highlight w:val="yellow"/>
        </w:rPr>
        <w:t xml:space="preserve"> </w:t>
      </w:r>
      <w:r w:rsidR="002E12F9" w:rsidRPr="00317159">
        <w:rPr>
          <w:highlight w:val="yellow"/>
        </w:rPr>
        <w:t xml:space="preserve">and Nickel </w:t>
      </w:r>
      <w:r w:rsidR="002E4D75" w:rsidRPr="00317159">
        <w:rPr>
          <w:highlight w:val="yellow"/>
        </w:rPr>
        <w:t>content</w:t>
      </w:r>
      <w:r w:rsidR="0094772F" w:rsidRPr="00317159">
        <w:rPr>
          <w:highlight w:val="yellow"/>
        </w:rPr>
        <w:t>s</w:t>
      </w:r>
      <w:r w:rsidR="002E4D75" w:rsidRPr="00317159">
        <w:rPr>
          <w:highlight w:val="yellow"/>
        </w:rPr>
        <w:t xml:space="preserve"> </w:t>
      </w:r>
      <w:r w:rsidR="0094772F" w:rsidRPr="00317159">
        <w:rPr>
          <w:highlight w:val="yellow"/>
        </w:rPr>
        <w:t xml:space="preserve">proceeding </w:t>
      </w:r>
      <w:r w:rsidR="0094772F" w:rsidRPr="00317159">
        <w:rPr>
          <w:highlight w:val="yellow"/>
        </w:rPr>
        <w:lastRenderedPageBreak/>
        <w:t>from substrate. As a</w:t>
      </w:r>
      <w:r w:rsidR="00A76DC8" w:rsidRPr="00317159">
        <w:rPr>
          <w:highlight w:val="yellow"/>
        </w:rPr>
        <w:t xml:space="preserve"> </w:t>
      </w:r>
      <w:r w:rsidR="0094772F" w:rsidRPr="00317159">
        <w:rPr>
          <w:highlight w:val="yellow"/>
        </w:rPr>
        <w:t xml:space="preserve">consequence, </w:t>
      </w:r>
      <w:r w:rsidR="002E12F9" w:rsidRPr="00317159">
        <w:rPr>
          <w:highlight w:val="yellow"/>
        </w:rPr>
        <w:t>Silicon and Moly</w:t>
      </w:r>
      <w:r w:rsidR="00B44B2F" w:rsidRPr="00317159">
        <w:rPr>
          <w:highlight w:val="yellow"/>
        </w:rPr>
        <w:t>bdenum content</w:t>
      </w:r>
      <w:r w:rsidR="0094772F" w:rsidRPr="00317159">
        <w:rPr>
          <w:highlight w:val="yellow"/>
        </w:rPr>
        <w:t>s</w:t>
      </w:r>
      <w:r w:rsidR="00B44B2F" w:rsidRPr="00317159">
        <w:rPr>
          <w:highlight w:val="yellow"/>
        </w:rPr>
        <w:t xml:space="preserve"> </w:t>
      </w:r>
      <w:r w:rsidR="00320E8A" w:rsidRPr="00317159">
        <w:rPr>
          <w:highlight w:val="yellow"/>
        </w:rPr>
        <w:t xml:space="preserve">will </w:t>
      </w:r>
      <w:r w:rsidR="0094772F" w:rsidRPr="00317159">
        <w:rPr>
          <w:highlight w:val="yellow"/>
        </w:rPr>
        <w:t xml:space="preserve">proportionally </w:t>
      </w:r>
      <w:r w:rsidR="00320E8A" w:rsidRPr="00317159">
        <w:rPr>
          <w:highlight w:val="yellow"/>
        </w:rPr>
        <w:t xml:space="preserve">reduce </w:t>
      </w:r>
      <w:r w:rsidR="00154D02" w:rsidRPr="00317159">
        <w:rPr>
          <w:highlight w:val="yellow"/>
        </w:rPr>
        <w:t>and</w:t>
      </w:r>
      <w:r w:rsidR="0094772F" w:rsidRPr="00317159">
        <w:rPr>
          <w:highlight w:val="yellow"/>
        </w:rPr>
        <w:t>,</w:t>
      </w:r>
      <w:r w:rsidR="00B44B2F" w:rsidRPr="00317159">
        <w:rPr>
          <w:highlight w:val="yellow"/>
        </w:rPr>
        <w:t xml:space="preserve"> </w:t>
      </w:r>
      <w:r w:rsidR="0094772F" w:rsidRPr="00317159">
        <w:rPr>
          <w:highlight w:val="yellow"/>
        </w:rPr>
        <w:t>therefore</w:t>
      </w:r>
      <w:r w:rsidR="00B44B2F" w:rsidRPr="00317159">
        <w:rPr>
          <w:highlight w:val="yellow"/>
        </w:rPr>
        <w:t xml:space="preserve">, the </w:t>
      </w:r>
      <w:r w:rsidR="002C7B6E" w:rsidRPr="00317159">
        <w:rPr>
          <w:highlight w:val="yellow"/>
        </w:rPr>
        <w:t xml:space="preserve">hard </w:t>
      </w:r>
      <w:r w:rsidR="00B44B2F" w:rsidRPr="00317159">
        <w:rPr>
          <w:highlight w:val="yellow"/>
        </w:rPr>
        <w:t>Lave</w:t>
      </w:r>
      <w:r w:rsidR="001609EA" w:rsidRPr="00317159">
        <w:rPr>
          <w:highlight w:val="yellow"/>
        </w:rPr>
        <w:t>s phase</w:t>
      </w:r>
      <w:r w:rsidR="0094772F" w:rsidRPr="00317159">
        <w:rPr>
          <w:highlight w:val="yellow"/>
        </w:rPr>
        <w:t xml:space="preserve"> fraction</w:t>
      </w:r>
      <w:r w:rsidR="00B04136" w:rsidRPr="00317159">
        <w:rPr>
          <w:highlight w:val="yellow"/>
        </w:rPr>
        <w:t>.</w:t>
      </w:r>
      <w:r w:rsidR="00B04136">
        <w:t xml:space="preserve"> </w:t>
      </w:r>
    </w:p>
    <w:p w:rsidR="00290CA8" w:rsidRPr="00FB44C4" w:rsidRDefault="0094772F" w:rsidP="002E12F9">
      <w:pPr>
        <w:spacing w:line="480" w:lineRule="auto"/>
        <w:ind w:firstLine="708"/>
        <w:jc w:val="both"/>
      </w:pPr>
      <w:r w:rsidRPr="00317159">
        <w:rPr>
          <w:highlight w:val="yellow"/>
        </w:rPr>
        <w:t>As processing parameters can alter significantly the chemical composition</w:t>
      </w:r>
      <w:r w:rsidR="00317159" w:rsidRPr="00317159">
        <w:rPr>
          <w:highlight w:val="yellow"/>
        </w:rPr>
        <w:t>,</w:t>
      </w:r>
      <w:r w:rsidRPr="00317159">
        <w:rPr>
          <w:highlight w:val="yellow"/>
        </w:rPr>
        <w:t xml:space="preserve"> </w:t>
      </w:r>
      <w:r w:rsidR="00317159" w:rsidRPr="00317159">
        <w:rPr>
          <w:highlight w:val="yellow"/>
        </w:rPr>
        <w:t>u</w:t>
      </w:r>
      <w:r w:rsidR="007C48E3" w:rsidRPr="00317159">
        <w:rPr>
          <w:highlight w:val="yellow"/>
        </w:rPr>
        <w:t xml:space="preserve">nderstanding </w:t>
      </w:r>
      <w:r w:rsidR="002C7B6E" w:rsidRPr="00317159">
        <w:rPr>
          <w:highlight w:val="yellow"/>
        </w:rPr>
        <w:t xml:space="preserve">the interaction with the substrate </w:t>
      </w:r>
      <w:r w:rsidR="00B04136" w:rsidRPr="00317159">
        <w:rPr>
          <w:highlight w:val="yellow"/>
        </w:rPr>
        <w:t xml:space="preserve">is of great relevance </w:t>
      </w:r>
      <w:r w:rsidR="00AB33A5" w:rsidRPr="00317159">
        <w:rPr>
          <w:highlight w:val="yellow"/>
        </w:rPr>
        <w:t>on</w:t>
      </w:r>
      <w:r w:rsidR="001609EA" w:rsidRPr="00317159">
        <w:rPr>
          <w:highlight w:val="yellow"/>
        </w:rPr>
        <w:t xml:space="preserve"> </w:t>
      </w:r>
      <w:r w:rsidRPr="00317159">
        <w:rPr>
          <w:highlight w:val="yellow"/>
        </w:rPr>
        <w:t xml:space="preserve">previewing </w:t>
      </w:r>
      <w:r w:rsidR="00DE085E" w:rsidRPr="00317159">
        <w:rPr>
          <w:highlight w:val="yellow"/>
        </w:rPr>
        <w:t>coating</w:t>
      </w:r>
      <w:r w:rsidRPr="00317159">
        <w:rPr>
          <w:highlight w:val="yellow"/>
        </w:rPr>
        <w:t xml:space="preserve">s </w:t>
      </w:r>
      <w:r w:rsidR="007C48E3" w:rsidRPr="00317159">
        <w:rPr>
          <w:highlight w:val="yellow"/>
        </w:rPr>
        <w:t xml:space="preserve">features and </w:t>
      </w:r>
      <w:r w:rsidR="006027A6" w:rsidRPr="00317159">
        <w:rPr>
          <w:highlight w:val="yellow"/>
        </w:rPr>
        <w:t>performance</w:t>
      </w:r>
      <w:r w:rsidR="00317159" w:rsidRPr="00317159">
        <w:rPr>
          <w:highlight w:val="yellow"/>
        </w:rPr>
        <w:t>.</w:t>
      </w:r>
      <w:r w:rsidR="006027A6" w:rsidRPr="00317159">
        <w:rPr>
          <w:highlight w:val="yellow"/>
        </w:rPr>
        <w:t xml:space="preserve"> Therefore, </w:t>
      </w:r>
      <w:r w:rsidR="002E2969" w:rsidRPr="00317159">
        <w:rPr>
          <w:highlight w:val="yellow"/>
        </w:rPr>
        <w:t xml:space="preserve">the aim </w:t>
      </w:r>
      <w:r w:rsidRPr="00317159">
        <w:rPr>
          <w:highlight w:val="yellow"/>
        </w:rPr>
        <w:t xml:space="preserve">of this work </w:t>
      </w:r>
      <w:r w:rsidR="002E2969" w:rsidRPr="00317159">
        <w:rPr>
          <w:highlight w:val="yellow"/>
        </w:rPr>
        <w:t xml:space="preserve">is </w:t>
      </w:r>
      <w:r w:rsidR="006027A6" w:rsidRPr="00317159">
        <w:rPr>
          <w:highlight w:val="yellow"/>
        </w:rPr>
        <w:t xml:space="preserve">to </w:t>
      </w:r>
      <w:r w:rsidR="000A2BC9" w:rsidRPr="00317159">
        <w:rPr>
          <w:highlight w:val="yellow"/>
        </w:rPr>
        <w:t>assess the</w:t>
      </w:r>
      <w:r w:rsidR="00D63564" w:rsidRPr="00317159">
        <w:rPr>
          <w:highlight w:val="yellow"/>
        </w:rPr>
        <w:t xml:space="preserve"> </w:t>
      </w:r>
      <w:r w:rsidRPr="00317159">
        <w:rPr>
          <w:highlight w:val="yellow"/>
        </w:rPr>
        <w:t xml:space="preserve">relationship </w:t>
      </w:r>
      <w:r w:rsidR="0012364A" w:rsidRPr="00317159">
        <w:rPr>
          <w:highlight w:val="yellow"/>
        </w:rPr>
        <w:t xml:space="preserve">between </w:t>
      </w:r>
      <w:r w:rsidRPr="00317159">
        <w:rPr>
          <w:highlight w:val="yellow"/>
        </w:rPr>
        <w:t xml:space="preserve">dilution level </w:t>
      </w:r>
      <w:r w:rsidR="00AB33A5" w:rsidRPr="00317159">
        <w:rPr>
          <w:highlight w:val="yellow"/>
        </w:rPr>
        <w:t>and m</w:t>
      </w:r>
      <w:r w:rsidR="006027A6" w:rsidRPr="00317159">
        <w:rPr>
          <w:highlight w:val="yellow"/>
        </w:rPr>
        <w:t>icrostructure</w:t>
      </w:r>
      <w:r w:rsidR="007C48E3" w:rsidRPr="00317159">
        <w:rPr>
          <w:highlight w:val="yellow"/>
        </w:rPr>
        <w:t>, hardness</w:t>
      </w:r>
      <w:r w:rsidR="006027A6" w:rsidRPr="00317159">
        <w:rPr>
          <w:highlight w:val="yellow"/>
        </w:rPr>
        <w:t xml:space="preserve"> and wear </w:t>
      </w:r>
      <w:r w:rsidR="00E16ECA" w:rsidRPr="00317159">
        <w:rPr>
          <w:highlight w:val="yellow"/>
        </w:rPr>
        <w:t>behavior.</w:t>
      </w:r>
    </w:p>
    <w:p w:rsidR="00290CA8" w:rsidRDefault="00290CA8" w:rsidP="007A3EE6">
      <w:pPr>
        <w:spacing w:line="480" w:lineRule="auto"/>
      </w:pPr>
    </w:p>
    <w:p w:rsidR="002D0432" w:rsidRDefault="002D0432" w:rsidP="007A3EE6">
      <w:pPr>
        <w:spacing w:line="480" w:lineRule="auto"/>
      </w:pPr>
    </w:p>
    <w:p w:rsidR="007D5906" w:rsidRPr="009F56B0" w:rsidRDefault="004179AD" w:rsidP="007A3EE6">
      <w:pPr>
        <w:spacing w:line="480" w:lineRule="auto"/>
        <w:jc w:val="both"/>
        <w:rPr>
          <w:b/>
        </w:rPr>
      </w:pPr>
      <w:r w:rsidRPr="009F56B0">
        <w:rPr>
          <w:b/>
        </w:rPr>
        <w:t>2. Materials and Methods</w:t>
      </w:r>
    </w:p>
    <w:p w:rsidR="00DD1C67" w:rsidRDefault="007D5906" w:rsidP="006C4B2E">
      <w:pPr>
        <w:spacing w:line="480" w:lineRule="auto"/>
        <w:ind w:firstLine="708"/>
        <w:jc w:val="both"/>
      </w:pPr>
      <w:r w:rsidRPr="001F189D">
        <w:rPr>
          <w:highlight w:val="yellow"/>
        </w:rPr>
        <w:t xml:space="preserve">Atomized </w:t>
      </w:r>
      <w:proofErr w:type="spellStart"/>
      <w:r w:rsidR="00C31511" w:rsidRPr="001F189D">
        <w:rPr>
          <w:highlight w:val="yellow"/>
        </w:rPr>
        <w:t>CoCrMoSi</w:t>
      </w:r>
      <w:proofErr w:type="spellEnd"/>
      <w:r w:rsidR="00C31511" w:rsidRPr="001F189D">
        <w:rPr>
          <w:highlight w:val="yellow"/>
        </w:rPr>
        <w:t xml:space="preserve"> alloy</w:t>
      </w:r>
      <w:r w:rsidR="000B237D" w:rsidRPr="001F189D">
        <w:rPr>
          <w:highlight w:val="yellow"/>
        </w:rPr>
        <w:t xml:space="preserve"> (</w:t>
      </w:r>
      <w:proofErr w:type="spellStart"/>
      <w:r w:rsidR="000B237D" w:rsidRPr="001F189D">
        <w:rPr>
          <w:highlight w:val="yellow"/>
        </w:rPr>
        <w:t>Tribaloy</w:t>
      </w:r>
      <w:proofErr w:type="spellEnd"/>
      <w:r w:rsidR="000B237D" w:rsidRPr="001F189D">
        <w:rPr>
          <w:highlight w:val="yellow"/>
        </w:rPr>
        <w:t xml:space="preserve"> T400)</w:t>
      </w:r>
      <w:r w:rsidR="004C3849" w:rsidRPr="001F189D">
        <w:rPr>
          <w:highlight w:val="yellow"/>
        </w:rPr>
        <w:t xml:space="preserve"> with </w:t>
      </w:r>
      <w:r w:rsidR="00290CA8" w:rsidRPr="001F189D">
        <w:rPr>
          <w:highlight w:val="yellow"/>
        </w:rPr>
        <w:t xml:space="preserve">grain size </w:t>
      </w:r>
      <w:r w:rsidR="000D4168" w:rsidRPr="001F189D">
        <w:rPr>
          <w:highlight w:val="yellow"/>
        </w:rPr>
        <w:t xml:space="preserve">ranging </w:t>
      </w:r>
      <w:r w:rsidR="00B51A29" w:rsidRPr="001F189D">
        <w:rPr>
          <w:highlight w:val="yellow"/>
        </w:rPr>
        <w:t>f</w:t>
      </w:r>
      <w:r w:rsidR="004C3849" w:rsidRPr="001F189D">
        <w:rPr>
          <w:highlight w:val="yellow"/>
        </w:rPr>
        <w:t xml:space="preserve">rom </w:t>
      </w:r>
      <w:r w:rsidR="00290CA8" w:rsidRPr="001F189D">
        <w:rPr>
          <w:highlight w:val="yellow"/>
        </w:rPr>
        <w:t>90</w:t>
      </w:r>
      <w:r w:rsidR="000D4168" w:rsidRPr="001F189D">
        <w:rPr>
          <w:highlight w:val="yellow"/>
        </w:rPr>
        <w:t>to</w:t>
      </w:r>
      <w:r w:rsidR="00290CA8" w:rsidRPr="001F189D">
        <w:rPr>
          <w:highlight w:val="yellow"/>
        </w:rPr>
        <w:t>150</w:t>
      </w:r>
      <w:r w:rsidR="00B51A29" w:rsidRPr="001F189D">
        <w:rPr>
          <w:highlight w:val="yellow"/>
        </w:rPr>
        <w:t> </w:t>
      </w:r>
      <w:proofErr w:type="spellStart"/>
      <w:r w:rsidR="004C3849" w:rsidRPr="001F189D">
        <w:rPr>
          <w:highlight w:val="yellow"/>
        </w:rPr>
        <w:t>μm</w:t>
      </w:r>
      <w:proofErr w:type="spellEnd"/>
      <w:r w:rsidR="004C3849" w:rsidRPr="001F189D">
        <w:rPr>
          <w:highlight w:val="yellow"/>
        </w:rPr>
        <w:t xml:space="preserve"> </w:t>
      </w:r>
      <w:r w:rsidR="00C31511" w:rsidRPr="001F189D">
        <w:rPr>
          <w:highlight w:val="yellow"/>
        </w:rPr>
        <w:t>was</w:t>
      </w:r>
      <w:r w:rsidR="00290CA8" w:rsidRPr="001F189D">
        <w:rPr>
          <w:highlight w:val="yellow"/>
        </w:rPr>
        <w:t xml:space="preserve"> </w:t>
      </w:r>
      <w:r w:rsidR="009F56B0" w:rsidRPr="001F189D">
        <w:rPr>
          <w:highlight w:val="yellow"/>
        </w:rPr>
        <w:t>Plasma Transferred Arc (PTA)</w:t>
      </w:r>
      <w:r w:rsidR="004C3849" w:rsidRPr="001F189D">
        <w:rPr>
          <w:highlight w:val="yellow"/>
        </w:rPr>
        <w:t xml:space="preserve"> </w:t>
      </w:r>
      <w:r w:rsidR="000D4168" w:rsidRPr="001F189D">
        <w:rPr>
          <w:highlight w:val="yellow"/>
        </w:rPr>
        <w:t>deposited ,</w:t>
      </w:r>
      <w:r w:rsidR="004C3849" w:rsidRPr="001F189D">
        <w:rPr>
          <w:highlight w:val="yellow"/>
        </w:rPr>
        <w:t>Table 1</w:t>
      </w:r>
      <w:r w:rsidRPr="001F189D">
        <w:rPr>
          <w:highlight w:val="yellow"/>
        </w:rPr>
        <w:t>.</w:t>
      </w:r>
      <w:r w:rsidR="00290CA8" w:rsidRPr="001F189D">
        <w:rPr>
          <w:highlight w:val="yellow"/>
        </w:rPr>
        <w:t xml:space="preserve"> </w:t>
      </w:r>
      <w:r w:rsidR="001D783B" w:rsidRPr="001F189D">
        <w:rPr>
          <w:highlight w:val="yellow"/>
        </w:rPr>
        <w:t>The d</w:t>
      </w:r>
      <w:r w:rsidR="006F6CD0" w:rsidRPr="001F189D">
        <w:rPr>
          <w:highlight w:val="yellow"/>
        </w:rPr>
        <w:t xml:space="preserve">eposition </w:t>
      </w:r>
      <w:r w:rsidR="000D4168" w:rsidRPr="001F189D">
        <w:rPr>
          <w:highlight w:val="yellow"/>
        </w:rPr>
        <w:t xml:space="preserve">of a 100 mm length single track </w:t>
      </w:r>
      <w:r w:rsidR="00E24122" w:rsidRPr="001F189D">
        <w:rPr>
          <w:highlight w:val="yellow"/>
        </w:rPr>
        <w:t xml:space="preserve">on </w:t>
      </w:r>
      <w:r w:rsidR="000D4168" w:rsidRPr="001F189D">
        <w:rPr>
          <w:highlight w:val="yellow"/>
        </w:rPr>
        <w:t xml:space="preserve">12.5 mm thick </w:t>
      </w:r>
      <w:r w:rsidR="00E24122" w:rsidRPr="001F189D">
        <w:rPr>
          <w:highlight w:val="yellow"/>
        </w:rPr>
        <w:t>AISI 316L stainless s</w:t>
      </w:r>
      <w:r w:rsidR="00B254DD" w:rsidRPr="001F189D">
        <w:rPr>
          <w:highlight w:val="yellow"/>
        </w:rPr>
        <w:t>teel</w:t>
      </w:r>
      <w:r w:rsidR="006C4B2E" w:rsidRPr="001F189D">
        <w:rPr>
          <w:highlight w:val="yellow"/>
        </w:rPr>
        <w:t xml:space="preserve"> </w:t>
      </w:r>
      <w:r w:rsidR="000D4168" w:rsidRPr="001F189D">
        <w:rPr>
          <w:highlight w:val="yellow"/>
        </w:rPr>
        <w:t xml:space="preserve">plate </w:t>
      </w:r>
      <w:r w:rsidR="001F189D" w:rsidRPr="001F189D">
        <w:rPr>
          <w:highlight w:val="yellow"/>
        </w:rPr>
        <w:t>was carried out</w:t>
      </w:r>
      <w:r w:rsidR="00B51A29" w:rsidRPr="001F189D">
        <w:rPr>
          <w:highlight w:val="yellow"/>
        </w:rPr>
        <w:t xml:space="preserve">, </w:t>
      </w:r>
      <w:r w:rsidR="00E07CD0" w:rsidRPr="001F189D">
        <w:rPr>
          <w:highlight w:val="yellow"/>
        </w:rPr>
        <w:t>T</w:t>
      </w:r>
      <w:r w:rsidRPr="001F189D">
        <w:rPr>
          <w:highlight w:val="yellow"/>
        </w:rPr>
        <w:t xml:space="preserve">able </w:t>
      </w:r>
      <w:r w:rsidR="00E07CD0" w:rsidRPr="001F189D">
        <w:rPr>
          <w:highlight w:val="yellow"/>
        </w:rPr>
        <w:t>2</w:t>
      </w:r>
      <w:r w:rsidRPr="001F189D">
        <w:rPr>
          <w:highlight w:val="yellow"/>
        </w:rPr>
        <w:t>.</w:t>
      </w:r>
      <w:r w:rsidR="009C6F48" w:rsidRPr="001F189D">
        <w:rPr>
          <w:highlight w:val="yellow"/>
        </w:rPr>
        <w:t xml:space="preserve"> </w:t>
      </w:r>
      <w:r w:rsidR="000D4168" w:rsidRPr="001F189D">
        <w:rPr>
          <w:highlight w:val="yellow"/>
        </w:rPr>
        <w:t>T</w:t>
      </w:r>
      <w:r w:rsidR="006F6CD0" w:rsidRPr="001F189D">
        <w:rPr>
          <w:highlight w:val="yellow"/>
        </w:rPr>
        <w:t xml:space="preserve">rack </w:t>
      </w:r>
      <w:r w:rsidR="00EB3605" w:rsidRPr="001F189D">
        <w:rPr>
          <w:highlight w:val="yellow"/>
        </w:rPr>
        <w:t>e</w:t>
      </w:r>
      <w:r w:rsidR="009C6F48" w:rsidRPr="001F189D">
        <w:rPr>
          <w:highlight w:val="yellow"/>
        </w:rPr>
        <w:t xml:space="preserve">xtremities were 20 mm </w:t>
      </w:r>
      <w:r w:rsidR="001006F6" w:rsidRPr="001F189D">
        <w:rPr>
          <w:highlight w:val="yellow"/>
        </w:rPr>
        <w:t>discard</w:t>
      </w:r>
      <w:r w:rsidR="009C6F48" w:rsidRPr="001F189D">
        <w:rPr>
          <w:highlight w:val="yellow"/>
        </w:rPr>
        <w:t>ed and characterizat</w:t>
      </w:r>
      <w:r w:rsidR="00C26021" w:rsidRPr="001F189D">
        <w:rPr>
          <w:highlight w:val="yellow"/>
        </w:rPr>
        <w:t xml:space="preserve">ion </w:t>
      </w:r>
      <w:r w:rsidR="00EB3605" w:rsidRPr="001F189D">
        <w:rPr>
          <w:highlight w:val="yellow"/>
        </w:rPr>
        <w:t xml:space="preserve">was </w:t>
      </w:r>
      <w:r w:rsidR="006F6CD0" w:rsidRPr="001F189D">
        <w:rPr>
          <w:highlight w:val="yellow"/>
        </w:rPr>
        <w:t xml:space="preserve">performed </w:t>
      </w:r>
      <w:r w:rsidR="00C26021" w:rsidRPr="001F189D">
        <w:rPr>
          <w:highlight w:val="yellow"/>
        </w:rPr>
        <w:t>in the middle</w:t>
      </w:r>
      <w:r w:rsidR="000D4168" w:rsidRPr="001F189D">
        <w:rPr>
          <w:highlight w:val="yellow"/>
        </w:rPr>
        <w:t xml:space="preserve"> of deposited layer</w:t>
      </w:r>
      <w:r w:rsidR="009C6F48" w:rsidRPr="001F189D">
        <w:rPr>
          <w:highlight w:val="yellow"/>
        </w:rPr>
        <w:t>.</w:t>
      </w:r>
    </w:p>
    <w:p w:rsidR="000B237D" w:rsidRDefault="000B237D" w:rsidP="000B237D">
      <w:pPr>
        <w:spacing w:line="480" w:lineRule="auto"/>
        <w:ind w:firstLine="708"/>
        <w:jc w:val="both"/>
      </w:pPr>
      <w:proofErr w:type="spellStart"/>
      <w:r w:rsidRPr="001F189D">
        <w:rPr>
          <w:highlight w:val="yellow"/>
        </w:rPr>
        <w:t>Tribaloy</w:t>
      </w:r>
      <w:proofErr w:type="spellEnd"/>
      <w:r w:rsidRPr="001F189D">
        <w:rPr>
          <w:highlight w:val="yellow"/>
        </w:rPr>
        <w:t xml:space="preserve"> T400 </w:t>
      </w:r>
      <w:r w:rsidR="00C346A4" w:rsidRPr="001F189D">
        <w:rPr>
          <w:highlight w:val="yellow"/>
        </w:rPr>
        <w:t xml:space="preserve">alloy </w:t>
      </w:r>
      <w:r w:rsidR="000D4168" w:rsidRPr="001F189D">
        <w:rPr>
          <w:highlight w:val="yellow"/>
        </w:rPr>
        <w:t xml:space="preserve">exhibits </w:t>
      </w:r>
      <w:r w:rsidRPr="001F189D">
        <w:rPr>
          <w:highlight w:val="yellow"/>
        </w:rPr>
        <w:t xml:space="preserve">hypereutectic </w:t>
      </w:r>
      <w:r w:rsidR="002D24B2" w:rsidRPr="001F189D">
        <w:rPr>
          <w:highlight w:val="yellow"/>
        </w:rPr>
        <w:t xml:space="preserve">chemical </w:t>
      </w:r>
      <w:r w:rsidR="00C346A4" w:rsidRPr="001F189D">
        <w:rPr>
          <w:highlight w:val="yellow"/>
        </w:rPr>
        <w:t xml:space="preserve">composition </w:t>
      </w:r>
      <w:r w:rsidR="00D84784" w:rsidRPr="001F189D">
        <w:rPr>
          <w:highlight w:val="yellow"/>
        </w:rPr>
        <w:t xml:space="preserve">and the </w:t>
      </w:r>
      <w:r w:rsidR="00C346A4" w:rsidRPr="001F189D">
        <w:rPr>
          <w:highlight w:val="yellow"/>
        </w:rPr>
        <w:t>microstructure</w:t>
      </w:r>
      <w:r w:rsidR="00D84784" w:rsidRPr="001F189D">
        <w:rPr>
          <w:highlight w:val="yellow"/>
        </w:rPr>
        <w:t xml:space="preserve"> is</w:t>
      </w:r>
      <w:r w:rsidR="00C346A4" w:rsidRPr="001F189D">
        <w:rPr>
          <w:highlight w:val="yellow"/>
        </w:rPr>
        <w:t xml:space="preserve"> composed by </w:t>
      </w:r>
      <w:r w:rsidR="00D102F5" w:rsidRPr="001F189D">
        <w:rPr>
          <w:highlight w:val="yellow"/>
        </w:rPr>
        <w:t xml:space="preserve">primary </w:t>
      </w:r>
      <w:proofErr w:type="spellStart"/>
      <w:r w:rsidR="00D102F5" w:rsidRPr="001F189D">
        <w:rPr>
          <w:highlight w:val="yellow"/>
        </w:rPr>
        <w:t>i</w:t>
      </w:r>
      <w:r w:rsidR="00B16080" w:rsidRPr="001F189D">
        <w:rPr>
          <w:highlight w:val="yellow"/>
        </w:rPr>
        <w:t>ntermetallic</w:t>
      </w:r>
      <w:proofErr w:type="spellEnd"/>
      <w:r w:rsidR="00B16080" w:rsidRPr="001F189D">
        <w:rPr>
          <w:highlight w:val="yellow"/>
        </w:rPr>
        <w:t xml:space="preserve"> </w:t>
      </w:r>
      <w:r w:rsidR="00D102F5" w:rsidRPr="001F189D">
        <w:rPr>
          <w:highlight w:val="yellow"/>
        </w:rPr>
        <w:t xml:space="preserve">Laves </w:t>
      </w:r>
      <w:r w:rsidR="00B16080" w:rsidRPr="001F189D">
        <w:rPr>
          <w:highlight w:val="yellow"/>
        </w:rPr>
        <w:t>phase</w:t>
      </w:r>
      <w:r w:rsidR="00C346A4" w:rsidRPr="001F189D">
        <w:rPr>
          <w:highlight w:val="yellow"/>
        </w:rPr>
        <w:t xml:space="preserve"> and lamellar eutectic</w:t>
      </w:r>
      <w:r w:rsidR="00D40859" w:rsidRPr="001F189D">
        <w:rPr>
          <w:highlight w:val="yellow"/>
        </w:rPr>
        <w:t>.</w:t>
      </w:r>
      <w:r w:rsidR="008F3587" w:rsidRPr="001F189D">
        <w:rPr>
          <w:highlight w:val="yellow"/>
        </w:rPr>
        <w:t xml:space="preserve"> </w:t>
      </w:r>
      <w:r w:rsidR="008F3587">
        <w:rPr>
          <w:highlight w:val="yellow"/>
        </w:rPr>
        <w:t xml:space="preserve">The </w:t>
      </w:r>
      <w:r w:rsidR="008F3587" w:rsidRPr="009629A7">
        <w:rPr>
          <w:highlight w:val="yellow"/>
        </w:rPr>
        <w:t>Laves hexagonal close-packed (</w:t>
      </w:r>
      <w:proofErr w:type="spellStart"/>
      <w:r w:rsidR="008F3587" w:rsidRPr="009629A7">
        <w:rPr>
          <w:highlight w:val="yellow"/>
        </w:rPr>
        <w:t>hcp</w:t>
      </w:r>
      <w:proofErr w:type="spellEnd"/>
      <w:r w:rsidR="008F3587" w:rsidRPr="009629A7">
        <w:rPr>
          <w:highlight w:val="yellow"/>
        </w:rPr>
        <w:t xml:space="preserve">) structure </w:t>
      </w:r>
      <w:r w:rsidR="00D40859" w:rsidRPr="009629A7">
        <w:rPr>
          <w:highlight w:val="yellow"/>
        </w:rPr>
        <w:t xml:space="preserve"> </w:t>
      </w:r>
      <w:r w:rsidR="00D84784" w:rsidRPr="009629A7">
        <w:rPr>
          <w:highlight w:val="yellow"/>
        </w:rPr>
        <w:t>contain</w:t>
      </w:r>
      <w:r w:rsidR="008F3587" w:rsidRPr="009629A7">
        <w:rPr>
          <w:highlight w:val="yellow"/>
        </w:rPr>
        <w:t>s</w:t>
      </w:r>
      <w:r w:rsidR="00D84784" w:rsidRPr="009629A7">
        <w:rPr>
          <w:highlight w:val="yellow"/>
        </w:rPr>
        <w:t xml:space="preserve"> </w:t>
      </w:r>
      <w:r w:rsidR="00B16080" w:rsidRPr="009629A7">
        <w:rPr>
          <w:highlight w:val="yellow"/>
        </w:rPr>
        <w:t xml:space="preserve">Co, Mo and Si, as </w:t>
      </w:r>
      <w:r w:rsidR="008F3587" w:rsidRPr="009629A7">
        <w:rPr>
          <w:highlight w:val="yellow"/>
        </w:rPr>
        <w:t xml:space="preserve">a </w:t>
      </w:r>
      <w:r w:rsidR="00B16080" w:rsidRPr="009629A7">
        <w:rPr>
          <w:highlight w:val="yellow"/>
        </w:rPr>
        <w:t>Co</w:t>
      </w:r>
      <w:r w:rsidR="00B16080" w:rsidRPr="009629A7">
        <w:rPr>
          <w:highlight w:val="yellow"/>
          <w:vertAlign w:val="subscript"/>
        </w:rPr>
        <w:t>3</w:t>
      </w:r>
      <w:r w:rsidR="00B16080" w:rsidRPr="009629A7">
        <w:rPr>
          <w:highlight w:val="yellow"/>
        </w:rPr>
        <w:t>Mo</w:t>
      </w:r>
      <w:r w:rsidR="00B16080" w:rsidRPr="009629A7">
        <w:rPr>
          <w:highlight w:val="yellow"/>
          <w:vertAlign w:val="subscript"/>
        </w:rPr>
        <w:t>2</w:t>
      </w:r>
      <w:r w:rsidR="00B16080" w:rsidRPr="009629A7">
        <w:rPr>
          <w:highlight w:val="yellow"/>
        </w:rPr>
        <w:t xml:space="preserve">Si and/or </w:t>
      </w:r>
      <w:proofErr w:type="spellStart"/>
      <w:r w:rsidR="00B16080" w:rsidRPr="009629A7">
        <w:rPr>
          <w:highlight w:val="yellow"/>
        </w:rPr>
        <w:t>CoMoSi</w:t>
      </w:r>
      <w:proofErr w:type="spellEnd"/>
      <w:r w:rsidR="00D84784" w:rsidRPr="009629A7">
        <w:rPr>
          <w:highlight w:val="yellow"/>
        </w:rPr>
        <w:t xml:space="preserve"> </w:t>
      </w:r>
      <w:proofErr w:type="spellStart"/>
      <w:r w:rsidR="00D84784" w:rsidRPr="009629A7">
        <w:rPr>
          <w:highlight w:val="yellow"/>
        </w:rPr>
        <w:t>stoichiometry</w:t>
      </w:r>
      <w:proofErr w:type="spellEnd"/>
      <w:r w:rsidR="008F3587" w:rsidRPr="009629A7">
        <w:rPr>
          <w:highlight w:val="yellow"/>
        </w:rPr>
        <w:t xml:space="preserve"> compound</w:t>
      </w:r>
      <w:r w:rsidR="00B16080" w:rsidRPr="009629A7">
        <w:rPr>
          <w:highlight w:val="yellow"/>
        </w:rPr>
        <w:t>.</w:t>
      </w:r>
      <w:r w:rsidRPr="009629A7">
        <w:rPr>
          <w:highlight w:val="yellow"/>
        </w:rPr>
        <w:t xml:space="preserve"> </w:t>
      </w:r>
      <w:r w:rsidR="008F3587" w:rsidRPr="009629A7">
        <w:rPr>
          <w:highlight w:val="yellow"/>
        </w:rPr>
        <w:t xml:space="preserve">The </w:t>
      </w:r>
      <w:r w:rsidR="00D84784" w:rsidRPr="009629A7">
        <w:rPr>
          <w:highlight w:val="yellow"/>
        </w:rPr>
        <w:t>T400</w:t>
      </w:r>
      <w:r w:rsidRPr="009629A7">
        <w:rPr>
          <w:highlight w:val="yellow"/>
        </w:rPr>
        <w:t xml:space="preserve"> </w:t>
      </w:r>
      <w:r w:rsidR="008F3587" w:rsidRPr="009629A7">
        <w:rPr>
          <w:highlight w:val="yellow"/>
        </w:rPr>
        <w:t xml:space="preserve">alloy </w:t>
      </w:r>
      <w:r w:rsidR="00D40859" w:rsidRPr="009629A7">
        <w:rPr>
          <w:highlight w:val="yellow"/>
        </w:rPr>
        <w:t xml:space="preserve">was designed with </w:t>
      </w:r>
      <w:r w:rsidRPr="009629A7">
        <w:rPr>
          <w:highlight w:val="yellow"/>
        </w:rPr>
        <w:t xml:space="preserve">lower amount of Chromium and Silicon </w:t>
      </w:r>
      <w:r w:rsidR="008F3587" w:rsidRPr="009629A7">
        <w:rPr>
          <w:highlight w:val="yellow"/>
        </w:rPr>
        <w:t xml:space="preserve">compared to T800. Laves Phase </w:t>
      </w:r>
      <w:r w:rsidR="00D8727B" w:rsidRPr="009629A7">
        <w:rPr>
          <w:highlight w:val="yellow"/>
        </w:rPr>
        <w:t xml:space="preserve">volume fraction </w:t>
      </w:r>
      <w:r w:rsidR="008F3587" w:rsidRPr="009629A7">
        <w:rPr>
          <w:highlight w:val="yellow"/>
        </w:rPr>
        <w:t>may</w:t>
      </w:r>
      <w:r w:rsidR="00D8727B" w:rsidRPr="009629A7">
        <w:rPr>
          <w:highlight w:val="yellow"/>
        </w:rPr>
        <w:t xml:space="preserve"> </w:t>
      </w:r>
      <w:r w:rsidR="00B37016" w:rsidRPr="009629A7">
        <w:rPr>
          <w:highlight w:val="yellow"/>
        </w:rPr>
        <w:t xml:space="preserve">reach </w:t>
      </w:r>
      <w:r w:rsidR="008F3587" w:rsidRPr="009629A7">
        <w:rPr>
          <w:highlight w:val="yellow"/>
        </w:rPr>
        <w:t xml:space="preserve">up to </w:t>
      </w:r>
      <w:r w:rsidR="00D8727B" w:rsidRPr="009629A7">
        <w:rPr>
          <w:highlight w:val="yellow"/>
        </w:rPr>
        <w:t>5</w:t>
      </w:r>
      <w:r w:rsidR="008B27E9" w:rsidRPr="009629A7">
        <w:rPr>
          <w:highlight w:val="yellow"/>
        </w:rPr>
        <w:t>0 </w:t>
      </w:r>
      <w:r w:rsidR="00D8727B" w:rsidRPr="009629A7">
        <w:rPr>
          <w:highlight w:val="yellow"/>
        </w:rPr>
        <w:t>%</w:t>
      </w:r>
      <w:r w:rsidR="00DA4E37" w:rsidRPr="009629A7">
        <w:rPr>
          <w:highlight w:val="yellow"/>
        </w:rPr>
        <w:t xml:space="preserve"> </w:t>
      </w:r>
      <w:r w:rsidR="0076155E" w:rsidRPr="009629A7">
        <w:rPr>
          <w:highlight w:val="yellow"/>
        </w:rPr>
        <w:t>on</w:t>
      </w:r>
      <w:r w:rsidR="00DA4E37" w:rsidRPr="009629A7">
        <w:rPr>
          <w:highlight w:val="yellow"/>
        </w:rPr>
        <w:t xml:space="preserve"> </w:t>
      </w:r>
      <w:r w:rsidR="008F3587" w:rsidRPr="009629A7">
        <w:rPr>
          <w:highlight w:val="yellow"/>
        </w:rPr>
        <w:t xml:space="preserve">the </w:t>
      </w:r>
      <w:r w:rsidR="00DA4E37" w:rsidRPr="009629A7">
        <w:rPr>
          <w:highlight w:val="yellow"/>
        </w:rPr>
        <w:t>cast alloy</w:t>
      </w:r>
      <w:r w:rsidR="008F3587" w:rsidRPr="009629A7">
        <w:rPr>
          <w:highlight w:val="yellow"/>
        </w:rPr>
        <w:t xml:space="preserve"> and, a</w:t>
      </w:r>
      <w:r w:rsidR="00D40859" w:rsidRPr="009629A7">
        <w:rPr>
          <w:highlight w:val="yellow"/>
        </w:rPr>
        <w:t>s a consequence, h</w:t>
      </w:r>
      <w:r w:rsidRPr="009629A7">
        <w:rPr>
          <w:highlight w:val="yellow"/>
        </w:rPr>
        <w:t>igher ductility and toughness</w:t>
      </w:r>
      <w:r w:rsidR="00D40859" w:rsidRPr="009629A7">
        <w:rPr>
          <w:highlight w:val="yellow"/>
        </w:rPr>
        <w:t xml:space="preserve"> is </w:t>
      </w:r>
      <w:r w:rsidRPr="009629A7">
        <w:rPr>
          <w:highlight w:val="yellow"/>
        </w:rPr>
        <w:t xml:space="preserve">reported </w:t>
      </w:r>
      <w:r w:rsidR="000D4D4E" w:rsidRPr="009629A7">
        <w:rPr>
          <w:highlight w:val="yellow"/>
        </w:rPr>
        <w:t xml:space="preserve">(Ref </w:t>
      </w:r>
      <w:r w:rsidR="00D40859" w:rsidRPr="009629A7">
        <w:rPr>
          <w:highlight w:val="yellow"/>
        </w:rPr>
        <w:t xml:space="preserve">5, </w:t>
      </w:r>
      <w:r w:rsidR="000D4D4E" w:rsidRPr="009629A7">
        <w:rPr>
          <w:highlight w:val="yellow"/>
        </w:rPr>
        <w:t>7</w:t>
      </w:r>
      <w:r w:rsidR="007925EE" w:rsidRPr="009629A7">
        <w:rPr>
          <w:highlight w:val="yellow"/>
        </w:rPr>
        <w:t>, 9</w:t>
      </w:r>
      <w:r w:rsidR="000D4D4E" w:rsidRPr="009629A7">
        <w:rPr>
          <w:highlight w:val="yellow"/>
        </w:rPr>
        <w:t>).</w:t>
      </w:r>
    </w:p>
    <w:p w:rsidR="00FF1994" w:rsidRPr="00FB44C4" w:rsidRDefault="008F3587" w:rsidP="006C4B2E">
      <w:pPr>
        <w:spacing w:line="480" w:lineRule="auto"/>
        <w:ind w:firstLine="708"/>
        <w:jc w:val="both"/>
      </w:pPr>
      <w:r w:rsidRPr="00DB752A">
        <w:rPr>
          <w:highlight w:val="yellow"/>
        </w:rPr>
        <w:t>V</w:t>
      </w:r>
      <w:r w:rsidR="006C4B2E" w:rsidRPr="00DB752A">
        <w:rPr>
          <w:highlight w:val="yellow"/>
        </w:rPr>
        <w:t xml:space="preserve">isual inspection </w:t>
      </w:r>
      <w:r w:rsidR="00911BCF" w:rsidRPr="00DB752A">
        <w:rPr>
          <w:highlight w:val="yellow"/>
        </w:rPr>
        <w:t xml:space="preserve">was </w:t>
      </w:r>
      <w:r w:rsidR="00A030B4" w:rsidRPr="00DB752A">
        <w:rPr>
          <w:highlight w:val="yellow"/>
        </w:rPr>
        <w:t xml:space="preserve">performed </w:t>
      </w:r>
      <w:r w:rsidRPr="00DB752A">
        <w:rPr>
          <w:highlight w:val="yellow"/>
        </w:rPr>
        <w:t xml:space="preserve">and no </w:t>
      </w:r>
      <w:r w:rsidR="000E7A56" w:rsidRPr="00DB752A">
        <w:rPr>
          <w:highlight w:val="yellow"/>
        </w:rPr>
        <w:t xml:space="preserve">nondestructive </w:t>
      </w:r>
      <w:r w:rsidR="00A030B4" w:rsidRPr="00DB752A">
        <w:rPr>
          <w:highlight w:val="yellow"/>
        </w:rPr>
        <w:t xml:space="preserve">technique </w:t>
      </w:r>
      <w:r w:rsidR="00AA561D" w:rsidRPr="00DB752A">
        <w:rPr>
          <w:highlight w:val="yellow"/>
        </w:rPr>
        <w:t xml:space="preserve">on </w:t>
      </w:r>
      <w:r w:rsidRPr="00DB752A">
        <w:rPr>
          <w:highlight w:val="yellow"/>
        </w:rPr>
        <w:t xml:space="preserve">coatings </w:t>
      </w:r>
      <w:r w:rsidR="000E7A56" w:rsidRPr="00DB752A">
        <w:rPr>
          <w:highlight w:val="yellow"/>
        </w:rPr>
        <w:t xml:space="preserve">surface </w:t>
      </w:r>
      <w:r w:rsidRPr="00DB752A">
        <w:rPr>
          <w:highlight w:val="yellow"/>
        </w:rPr>
        <w:t xml:space="preserve">was done </w:t>
      </w:r>
      <w:r w:rsidR="00A030B4" w:rsidRPr="00DB752A">
        <w:rPr>
          <w:highlight w:val="yellow"/>
        </w:rPr>
        <w:t>to evaluate</w:t>
      </w:r>
      <w:r w:rsidR="000E7A56" w:rsidRPr="00DB752A">
        <w:rPr>
          <w:highlight w:val="yellow"/>
        </w:rPr>
        <w:t xml:space="preserve"> </w:t>
      </w:r>
      <w:r w:rsidR="00482060" w:rsidRPr="00DB752A">
        <w:rPr>
          <w:highlight w:val="yellow"/>
        </w:rPr>
        <w:t xml:space="preserve">the presence of </w:t>
      </w:r>
      <w:r w:rsidR="000E7A56" w:rsidRPr="00DB752A">
        <w:rPr>
          <w:highlight w:val="yellow"/>
        </w:rPr>
        <w:t>welding defects</w:t>
      </w:r>
      <w:r w:rsidR="00911BCF" w:rsidRPr="00DB752A">
        <w:rPr>
          <w:highlight w:val="yellow"/>
        </w:rPr>
        <w:t xml:space="preserve">. </w:t>
      </w:r>
      <w:r w:rsidRPr="00DB752A">
        <w:rPr>
          <w:highlight w:val="yellow"/>
        </w:rPr>
        <w:t>O</w:t>
      </w:r>
      <w:r w:rsidR="00482060" w:rsidRPr="00DB752A">
        <w:rPr>
          <w:highlight w:val="yellow"/>
        </w:rPr>
        <w:t xml:space="preserve">ptical </w:t>
      </w:r>
      <w:r w:rsidR="00EC1B49" w:rsidRPr="00DB752A">
        <w:rPr>
          <w:highlight w:val="yellow"/>
        </w:rPr>
        <w:t xml:space="preserve">microscopy </w:t>
      </w:r>
      <w:r w:rsidR="00482060" w:rsidRPr="00DB752A">
        <w:rPr>
          <w:highlight w:val="yellow"/>
        </w:rPr>
        <w:t xml:space="preserve">on the transverse cross section </w:t>
      </w:r>
      <w:r w:rsidR="00161B2B" w:rsidRPr="00DB752A">
        <w:rPr>
          <w:highlight w:val="yellow"/>
        </w:rPr>
        <w:t xml:space="preserve">of </w:t>
      </w:r>
      <w:r w:rsidR="00BB40E3" w:rsidRPr="00DB752A">
        <w:rPr>
          <w:highlight w:val="yellow"/>
        </w:rPr>
        <w:t xml:space="preserve">the </w:t>
      </w:r>
      <w:r w:rsidR="008B52D9" w:rsidRPr="00DB752A">
        <w:rPr>
          <w:highlight w:val="yellow"/>
        </w:rPr>
        <w:t>deposits</w:t>
      </w:r>
      <w:r w:rsidRPr="00DB752A">
        <w:rPr>
          <w:highlight w:val="yellow"/>
        </w:rPr>
        <w:t xml:space="preserve"> was done</w:t>
      </w:r>
      <w:r w:rsidR="008B52D9" w:rsidRPr="00DB752A">
        <w:rPr>
          <w:highlight w:val="yellow"/>
        </w:rPr>
        <w:t>.</w:t>
      </w:r>
      <w:r w:rsidR="00911BCF" w:rsidRPr="00DB752A">
        <w:rPr>
          <w:highlight w:val="yellow"/>
        </w:rPr>
        <w:t xml:space="preserve"> </w:t>
      </w:r>
      <w:r w:rsidR="008B52D9" w:rsidRPr="00DB752A">
        <w:rPr>
          <w:highlight w:val="yellow"/>
        </w:rPr>
        <w:t>The track g</w:t>
      </w:r>
      <w:r w:rsidR="001224DB" w:rsidRPr="00DB752A">
        <w:rPr>
          <w:highlight w:val="yellow"/>
        </w:rPr>
        <w:t>eometry</w:t>
      </w:r>
      <w:r w:rsidR="005F78C3" w:rsidRPr="00DB752A">
        <w:rPr>
          <w:highlight w:val="yellow"/>
        </w:rPr>
        <w:t xml:space="preserve"> </w:t>
      </w:r>
      <w:r w:rsidR="001224DB" w:rsidRPr="00DB752A">
        <w:rPr>
          <w:highlight w:val="yellow"/>
        </w:rPr>
        <w:t>was measured by</w:t>
      </w:r>
      <w:r w:rsidR="00DB752A" w:rsidRPr="00DB752A">
        <w:rPr>
          <w:highlight w:val="yellow"/>
        </w:rPr>
        <w:t xml:space="preserve"> light microscopy</w:t>
      </w:r>
      <w:r w:rsidRPr="00DB752A">
        <w:rPr>
          <w:highlight w:val="yellow"/>
        </w:rPr>
        <w:t xml:space="preserve"> for</w:t>
      </w:r>
      <w:r w:rsidR="00BA52C0" w:rsidRPr="00DB752A">
        <w:rPr>
          <w:highlight w:val="yellow"/>
        </w:rPr>
        <w:t xml:space="preserve"> </w:t>
      </w:r>
      <w:r w:rsidR="001224DB" w:rsidRPr="00DB752A">
        <w:rPr>
          <w:highlight w:val="yellow"/>
        </w:rPr>
        <w:t>reinforcement thickness (t)</w:t>
      </w:r>
      <w:r w:rsidR="007C4DD5" w:rsidRPr="00DB752A">
        <w:rPr>
          <w:highlight w:val="yellow"/>
        </w:rPr>
        <w:t>,</w:t>
      </w:r>
      <w:r w:rsidR="001224DB" w:rsidRPr="00DB752A">
        <w:rPr>
          <w:highlight w:val="yellow"/>
        </w:rPr>
        <w:t xml:space="preserve"> width (W)</w:t>
      </w:r>
      <w:r w:rsidR="007C4DD5" w:rsidRPr="00DB752A">
        <w:rPr>
          <w:highlight w:val="yellow"/>
        </w:rPr>
        <w:t xml:space="preserve"> and </w:t>
      </w:r>
      <w:proofErr w:type="spellStart"/>
      <w:r w:rsidR="007C4DD5" w:rsidRPr="00DB752A">
        <w:rPr>
          <w:highlight w:val="yellow"/>
        </w:rPr>
        <w:t>wettability</w:t>
      </w:r>
      <w:proofErr w:type="spellEnd"/>
      <w:r w:rsidR="007C4DD5" w:rsidRPr="00DB752A">
        <w:rPr>
          <w:highlight w:val="yellow"/>
        </w:rPr>
        <w:t xml:space="preserve"> angle (</w:t>
      </w:r>
      <w:r w:rsidR="007C4DD5" w:rsidRPr="00DB752A">
        <w:rPr>
          <w:highlight w:val="yellow"/>
        </w:rPr>
        <w:sym w:font="Symbol" w:char="F051"/>
      </w:r>
      <w:r w:rsidR="007C4DD5" w:rsidRPr="00DB752A">
        <w:rPr>
          <w:highlight w:val="yellow"/>
        </w:rPr>
        <w:t>)</w:t>
      </w:r>
      <w:r w:rsidR="005F78C3" w:rsidRPr="00DB752A">
        <w:rPr>
          <w:highlight w:val="yellow"/>
        </w:rPr>
        <w:t xml:space="preserve">, </w:t>
      </w:r>
      <w:r w:rsidR="00E07CD0" w:rsidRPr="00DB752A">
        <w:rPr>
          <w:highlight w:val="yellow"/>
        </w:rPr>
        <w:t>F</w:t>
      </w:r>
      <w:r w:rsidR="005F78C3" w:rsidRPr="00DB752A">
        <w:rPr>
          <w:highlight w:val="yellow"/>
        </w:rPr>
        <w:t>ig</w:t>
      </w:r>
      <w:r w:rsidR="00E07CD0" w:rsidRPr="00DB752A">
        <w:rPr>
          <w:highlight w:val="yellow"/>
        </w:rPr>
        <w:t>.</w:t>
      </w:r>
      <w:r w:rsidR="005F78C3" w:rsidRPr="00DB752A">
        <w:rPr>
          <w:highlight w:val="yellow"/>
        </w:rPr>
        <w:t xml:space="preserve"> 1.</w:t>
      </w:r>
      <w:r w:rsidR="00366F82" w:rsidRPr="00DB752A">
        <w:rPr>
          <w:highlight w:val="yellow"/>
        </w:rPr>
        <w:t xml:space="preserve"> </w:t>
      </w:r>
      <w:r w:rsidR="00DF5E1E" w:rsidRPr="00DB752A">
        <w:rPr>
          <w:highlight w:val="yellow"/>
        </w:rPr>
        <w:t xml:space="preserve">The interaction </w:t>
      </w:r>
      <w:r w:rsidR="00DF5E1E" w:rsidRPr="00DB752A">
        <w:rPr>
          <w:highlight w:val="yellow"/>
        </w:rPr>
        <w:lastRenderedPageBreak/>
        <w:t>with the substrate (d</w:t>
      </w:r>
      <w:r w:rsidR="00366F82" w:rsidRPr="00DB752A">
        <w:rPr>
          <w:highlight w:val="yellow"/>
        </w:rPr>
        <w:t>ilution</w:t>
      </w:r>
      <w:r w:rsidR="00DF5E1E" w:rsidRPr="00DB752A">
        <w:rPr>
          <w:highlight w:val="yellow"/>
        </w:rPr>
        <w:t>)</w:t>
      </w:r>
      <w:r w:rsidR="00366F82" w:rsidRPr="00DB752A">
        <w:rPr>
          <w:highlight w:val="yellow"/>
        </w:rPr>
        <w:t xml:space="preserve"> was determined </w:t>
      </w:r>
      <w:r w:rsidRPr="00DB752A">
        <w:rPr>
          <w:highlight w:val="yellow"/>
        </w:rPr>
        <w:t>on</w:t>
      </w:r>
      <w:r w:rsidR="00366F82" w:rsidRPr="00DB752A">
        <w:rPr>
          <w:highlight w:val="yellow"/>
        </w:rPr>
        <w:t xml:space="preserve"> transverse cross-section by the ratio between melted area </w:t>
      </w:r>
      <w:r w:rsidRPr="00DB752A">
        <w:rPr>
          <w:highlight w:val="yellow"/>
        </w:rPr>
        <w:t xml:space="preserve">of the substrate </w:t>
      </w:r>
      <w:r w:rsidR="00366F82" w:rsidRPr="00DB752A">
        <w:rPr>
          <w:highlight w:val="yellow"/>
        </w:rPr>
        <w:t xml:space="preserve">and </w:t>
      </w:r>
      <w:r w:rsidRPr="00DB752A">
        <w:rPr>
          <w:highlight w:val="yellow"/>
        </w:rPr>
        <w:t xml:space="preserve">the </w:t>
      </w:r>
      <w:r w:rsidR="00366F82" w:rsidRPr="00DB752A">
        <w:rPr>
          <w:highlight w:val="yellow"/>
        </w:rPr>
        <w:t>total melted area.</w:t>
      </w:r>
    </w:p>
    <w:p w:rsidR="009F205C" w:rsidRPr="00FB44C4" w:rsidRDefault="005A3067" w:rsidP="00BF5AC7">
      <w:pPr>
        <w:pStyle w:val="Recuodecorpodetexto"/>
        <w:spacing w:line="480" w:lineRule="auto"/>
      </w:pPr>
      <w:r w:rsidRPr="00DB752A">
        <w:rPr>
          <w:highlight w:val="yellow"/>
        </w:rPr>
        <w:t>The c</w:t>
      </w:r>
      <w:r w:rsidR="00001809" w:rsidRPr="00DB752A">
        <w:rPr>
          <w:highlight w:val="yellow"/>
        </w:rPr>
        <w:t xml:space="preserve">oatings were characterized in the as-deposited condition </w:t>
      </w:r>
      <w:r w:rsidR="00DB752A" w:rsidRPr="00DB752A">
        <w:rPr>
          <w:highlight w:val="yellow"/>
        </w:rPr>
        <w:t>concerning</w:t>
      </w:r>
      <w:r w:rsidRPr="00DB752A">
        <w:rPr>
          <w:highlight w:val="yellow"/>
        </w:rPr>
        <w:t xml:space="preserve"> microstructure description</w:t>
      </w:r>
      <w:r w:rsidR="00001809" w:rsidRPr="00DB752A">
        <w:rPr>
          <w:highlight w:val="yellow"/>
        </w:rPr>
        <w:t xml:space="preserve"> </w:t>
      </w:r>
      <w:r w:rsidR="003E3E43" w:rsidRPr="00DB752A">
        <w:rPr>
          <w:highlight w:val="yellow"/>
        </w:rPr>
        <w:t>and volume fractio</w:t>
      </w:r>
      <w:r w:rsidRPr="00DB752A">
        <w:rPr>
          <w:highlight w:val="yellow"/>
        </w:rPr>
        <w:t>n measurement</w:t>
      </w:r>
      <w:r w:rsidR="003E3E43" w:rsidRPr="00DB752A">
        <w:rPr>
          <w:highlight w:val="yellow"/>
        </w:rPr>
        <w:t xml:space="preserve"> </w:t>
      </w:r>
      <w:r w:rsidR="008F3587" w:rsidRPr="00DB752A">
        <w:rPr>
          <w:highlight w:val="yellow"/>
        </w:rPr>
        <w:t xml:space="preserve">was performed </w:t>
      </w:r>
      <w:r w:rsidRPr="00DB752A">
        <w:rPr>
          <w:highlight w:val="yellow"/>
        </w:rPr>
        <w:t>with</w:t>
      </w:r>
      <w:r w:rsidR="003E3E43" w:rsidRPr="00DB752A">
        <w:rPr>
          <w:highlight w:val="yellow"/>
        </w:rPr>
        <w:t xml:space="preserve"> Olympus Soft Imaging Solutions</w:t>
      </w:r>
      <w:r w:rsidR="005D4744" w:rsidRPr="00DB752A">
        <w:rPr>
          <w:highlight w:val="yellow"/>
        </w:rPr>
        <w:t> </w:t>
      </w:r>
      <w:r w:rsidR="003E3E43" w:rsidRPr="00DB752A">
        <w:rPr>
          <w:highlight w:val="yellow"/>
          <w:vertAlign w:val="superscript"/>
        </w:rPr>
        <w:t>®</w:t>
      </w:r>
      <w:r w:rsidR="003E3E43" w:rsidRPr="00DB752A">
        <w:rPr>
          <w:highlight w:val="yellow"/>
        </w:rPr>
        <w:t xml:space="preserve"> software. X</w:t>
      </w:r>
      <w:r w:rsidR="00001809" w:rsidRPr="00DB752A">
        <w:rPr>
          <w:highlight w:val="yellow"/>
        </w:rPr>
        <w:t xml:space="preserve">-ray diffraction (XRD) analysis on </w:t>
      </w:r>
      <w:r w:rsidR="008F3587" w:rsidRPr="00DB752A">
        <w:rPr>
          <w:highlight w:val="yellow"/>
        </w:rPr>
        <w:t xml:space="preserve">coatings </w:t>
      </w:r>
      <w:r w:rsidR="00001809" w:rsidRPr="00DB752A">
        <w:rPr>
          <w:highlight w:val="yellow"/>
        </w:rPr>
        <w:t>top surface</w:t>
      </w:r>
      <w:r w:rsidR="001B565D" w:rsidRPr="00DB752A">
        <w:rPr>
          <w:highlight w:val="yellow"/>
        </w:rPr>
        <w:t xml:space="preserve"> was</w:t>
      </w:r>
      <w:r w:rsidR="003E3E43" w:rsidRPr="00DB752A">
        <w:rPr>
          <w:highlight w:val="yellow"/>
        </w:rPr>
        <w:t xml:space="preserve"> carried out with </w:t>
      </w:r>
      <w:r w:rsidR="00001809" w:rsidRPr="00DB752A">
        <w:rPr>
          <w:highlight w:val="yellow"/>
        </w:rPr>
        <w:t>K</w:t>
      </w:r>
      <w:r w:rsidR="00001809" w:rsidRPr="00DB752A">
        <w:rPr>
          <w:highlight w:val="yellow"/>
          <w:vertAlign w:val="subscript"/>
        </w:rPr>
        <w:sym w:font="Symbol" w:char="F061"/>
      </w:r>
      <w:r w:rsidR="00001809" w:rsidRPr="00DB752A">
        <w:rPr>
          <w:highlight w:val="yellow"/>
        </w:rPr>
        <w:t xml:space="preserve">Cu </w:t>
      </w:r>
      <w:r w:rsidR="003E3E43" w:rsidRPr="00DB752A">
        <w:rPr>
          <w:highlight w:val="yellow"/>
        </w:rPr>
        <w:t xml:space="preserve">radiation </w:t>
      </w:r>
      <w:r w:rsidR="005E702A" w:rsidRPr="00DB752A">
        <w:rPr>
          <w:highlight w:val="yellow"/>
        </w:rPr>
        <w:t>from 20 to 120º</w:t>
      </w:r>
      <w:r w:rsidR="001B565D" w:rsidRPr="00DB752A">
        <w:rPr>
          <w:highlight w:val="yellow"/>
        </w:rPr>
        <w:t xml:space="preserve"> and</w:t>
      </w:r>
      <w:r w:rsidR="005E702A" w:rsidRPr="00DB752A">
        <w:rPr>
          <w:highlight w:val="yellow"/>
        </w:rPr>
        <w:t xml:space="preserve"> </w:t>
      </w:r>
      <w:r w:rsidR="008F3587" w:rsidRPr="00DB752A">
        <w:rPr>
          <w:highlight w:val="yellow"/>
        </w:rPr>
        <w:t xml:space="preserve">exposure channel of </w:t>
      </w:r>
      <w:r w:rsidR="005E702A" w:rsidRPr="00DB752A">
        <w:rPr>
          <w:highlight w:val="yellow"/>
        </w:rPr>
        <w:t>1 </w:t>
      </w:r>
      <w:r w:rsidR="00001809" w:rsidRPr="00DB752A">
        <w:rPr>
          <w:highlight w:val="yellow"/>
        </w:rPr>
        <w:t xml:space="preserve">s. </w:t>
      </w:r>
      <w:r w:rsidR="008F3587" w:rsidRPr="00DB752A">
        <w:rPr>
          <w:highlight w:val="yellow"/>
        </w:rPr>
        <w:t xml:space="preserve">Coatings </w:t>
      </w:r>
      <w:r w:rsidR="001B565D" w:rsidRPr="00DB752A">
        <w:rPr>
          <w:highlight w:val="yellow"/>
        </w:rPr>
        <w:t xml:space="preserve">hardness </w:t>
      </w:r>
      <w:r w:rsidR="00EB3605" w:rsidRPr="00DB752A">
        <w:rPr>
          <w:highlight w:val="yellow"/>
        </w:rPr>
        <w:t>w</w:t>
      </w:r>
      <w:r w:rsidR="00F37B7B" w:rsidRPr="00DB752A">
        <w:rPr>
          <w:highlight w:val="yellow"/>
        </w:rPr>
        <w:t>as</w:t>
      </w:r>
      <w:r w:rsidR="00001809" w:rsidRPr="00DB752A">
        <w:rPr>
          <w:highlight w:val="yellow"/>
        </w:rPr>
        <w:t xml:space="preserve"> measured on the transverse cross-section under </w:t>
      </w:r>
      <w:r w:rsidR="007C5CD3" w:rsidRPr="00DB752A">
        <w:rPr>
          <w:highlight w:val="yellow"/>
        </w:rPr>
        <w:t>4.</w:t>
      </w:r>
      <w:r w:rsidR="00765BEF" w:rsidRPr="00DB752A">
        <w:rPr>
          <w:highlight w:val="yellow"/>
        </w:rPr>
        <w:t>9 N</w:t>
      </w:r>
      <w:r w:rsidR="00001809" w:rsidRPr="00DB752A">
        <w:rPr>
          <w:highlight w:val="yellow"/>
        </w:rPr>
        <w:t xml:space="preserve"> load</w:t>
      </w:r>
      <w:r w:rsidR="001B565D" w:rsidRPr="00DB752A">
        <w:rPr>
          <w:highlight w:val="yellow"/>
        </w:rPr>
        <w:t xml:space="preserve"> and results </w:t>
      </w:r>
      <w:r w:rsidR="00001809" w:rsidRPr="00DB752A">
        <w:rPr>
          <w:highlight w:val="yellow"/>
        </w:rPr>
        <w:t xml:space="preserve">as </w:t>
      </w:r>
      <w:r w:rsidR="001B565D" w:rsidRPr="00DB752A">
        <w:rPr>
          <w:highlight w:val="yellow"/>
        </w:rPr>
        <w:t xml:space="preserve">an </w:t>
      </w:r>
      <w:r w:rsidR="00001809" w:rsidRPr="00DB752A">
        <w:rPr>
          <w:highlight w:val="yellow"/>
        </w:rPr>
        <w:t>average of 10 measurements.</w:t>
      </w:r>
    </w:p>
    <w:p w:rsidR="002276B0" w:rsidRDefault="00D62AB0" w:rsidP="006C1576">
      <w:pPr>
        <w:pStyle w:val="Recuodecorpodetexto"/>
        <w:spacing w:line="480" w:lineRule="auto"/>
      </w:pPr>
      <w:r w:rsidRPr="00C77478">
        <w:rPr>
          <w:highlight w:val="yellow"/>
        </w:rPr>
        <w:t xml:space="preserve">The effect of processing on </w:t>
      </w:r>
      <w:r w:rsidR="008F3587" w:rsidRPr="00C77478">
        <w:rPr>
          <w:highlight w:val="yellow"/>
        </w:rPr>
        <w:t xml:space="preserve">wear </w:t>
      </w:r>
      <w:r w:rsidRPr="00C77478">
        <w:rPr>
          <w:highlight w:val="yellow"/>
        </w:rPr>
        <w:t>performance was evaluated by a</w:t>
      </w:r>
      <w:r w:rsidR="00290CA8" w:rsidRPr="00C77478">
        <w:rPr>
          <w:highlight w:val="yellow"/>
        </w:rPr>
        <w:t>brasive s</w:t>
      </w:r>
      <w:r w:rsidR="00C41283" w:rsidRPr="00C77478">
        <w:rPr>
          <w:highlight w:val="yellow"/>
        </w:rPr>
        <w:t>liding tests</w:t>
      </w:r>
      <w:r w:rsidR="00DB752A" w:rsidRPr="00C77478">
        <w:rPr>
          <w:highlight w:val="yellow"/>
        </w:rPr>
        <w:t xml:space="preserve"> </w:t>
      </w:r>
      <w:r w:rsidR="008F3587" w:rsidRPr="00C77478">
        <w:rPr>
          <w:highlight w:val="yellow"/>
        </w:rPr>
        <w:t xml:space="preserve">on </w:t>
      </w:r>
      <w:r w:rsidR="00C41283" w:rsidRPr="00C77478">
        <w:rPr>
          <w:highlight w:val="yellow"/>
        </w:rPr>
        <w:t>pin-on-disc sliding apparatus</w:t>
      </w:r>
      <w:r w:rsidR="008F3587" w:rsidRPr="00C77478">
        <w:rPr>
          <w:highlight w:val="yellow"/>
        </w:rPr>
        <w:t xml:space="preserve">. Samples slide </w:t>
      </w:r>
      <w:r w:rsidR="00C41283" w:rsidRPr="00C77478">
        <w:rPr>
          <w:highlight w:val="yellow"/>
        </w:rPr>
        <w:t>aga</w:t>
      </w:r>
      <w:r w:rsidR="00630FA9" w:rsidRPr="00C77478">
        <w:rPr>
          <w:highlight w:val="yellow"/>
        </w:rPr>
        <w:t>inst silicon carbide paper (#220</w:t>
      </w:r>
      <w:r w:rsidR="00C41283" w:rsidRPr="00C77478">
        <w:rPr>
          <w:highlight w:val="yellow"/>
        </w:rPr>
        <w:t>) assembled on a 63</w:t>
      </w:r>
      <w:r w:rsidR="00020892" w:rsidRPr="00C77478">
        <w:rPr>
          <w:highlight w:val="yellow"/>
        </w:rPr>
        <w:t> </w:t>
      </w:r>
      <w:r w:rsidR="00765BEF" w:rsidRPr="00C77478">
        <w:rPr>
          <w:highlight w:val="yellow"/>
        </w:rPr>
        <w:t>H</w:t>
      </w:r>
      <w:r w:rsidR="00C77478" w:rsidRPr="00C77478">
        <w:rPr>
          <w:highlight w:val="yellow"/>
        </w:rPr>
        <w:t xml:space="preserve">RC hardness metal disc </w:t>
      </w:r>
      <w:r w:rsidR="008F3587" w:rsidRPr="00C77478">
        <w:rPr>
          <w:highlight w:val="yellow"/>
        </w:rPr>
        <w:t>with an</w:t>
      </w:r>
      <w:r w:rsidR="006C1576" w:rsidRPr="00C77478">
        <w:rPr>
          <w:highlight w:val="yellow"/>
        </w:rPr>
        <w:t xml:space="preserve"> axial load </w:t>
      </w:r>
      <w:r w:rsidR="008F3587" w:rsidRPr="00C77478">
        <w:rPr>
          <w:highlight w:val="yellow"/>
        </w:rPr>
        <w:t xml:space="preserve">of </w:t>
      </w:r>
      <w:r w:rsidR="008039EA" w:rsidRPr="00C77478">
        <w:rPr>
          <w:highlight w:val="yellow"/>
        </w:rPr>
        <w:t>4.</w:t>
      </w:r>
      <w:r w:rsidR="00765BEF" w:rsidRPr="00C77478">
        <w:rPr>
          <w:highlight w:val="yellow"/>
        </w:rPr>
        <w:t xml:space="preserve">9 N </w:t>
      </w:r>
      <w:r w:rsidR="00C41283" w:rsidRPr="00C77478">
        <w:rPr>
          <w:highlight w:val="yellow"/>
        </w:rPr>
        <w:t>and tangent</w:t>
      </w:r>
      <w:r w:rsidR="006C1576" w:rsidRPr="00C77478">
        <w:rPr>
          <w:highlight w:val="yellow"/>
        </w:rPr>
        <w:t xml:space="preserve">ial speed </w:t>
      </w:r>
      <w:r w:rsidR="008F3587" w:rsidRPr="00C77478">
        <w:rPr>
          <w:highlight w:val="yellow"/>
        </w:rPr>
        <w:t xml:space="preserve"> of </w:t>
      </w:r>
      <w:r w:rsidR="008039EA" w:rsidRPr="00C77478">
        <w:rPr>
          <w:highlight w:val="yellow"/>
        </w:rPr>
        <w:t>1.</w:t>
      </w:r>
      <w:r w:rsidR="00C41283" w:rsidRPr="00C77478">
        <w:rPr>
          <w:highlight w:val="yellow"/>
        </w:rPr>
        <w:t>5</w:t>
      </w:r>
      <w:r w:rsidR="00020892" w:rsidRPr="00C77478">
        <w:rPr>
          <w:highlight w:val="yellow"/>
        </w:rPr>
        <w:t> </w:t>
      </w:r>
      <w:r w:rsidR="00C41283" w:rsidRPr="00C77478">
        <w:rPr>
          <w:highlight w:val="yellow"/>
        </w:rPr>
        <w:t xml:space="preserve">m/s. Pins </w:t>
      </w:r>
      <w:r w:rsidR="006C1576" w:rsidRPr="00C77478">
        <w:rPr>
          <w:highlight w:val="yellow"/>
        </w:rPr>
        <w:t>with</w:t>
      </w:r>
      <w:r w:rsidR="00020892" w:rsidRPr="00C77478">
        <w:rPr>
          <w:highlight w:val="yellow"/>
        </w:rPr>
        <w:t xml:space="preserve"> </w:t>
      </w:r>
      <w:r w:rsidR="00EB3605" w:rsidRPr="00C77478">
        <w:rPr>
          <w:highlight w:val="yellow"/>
        </w:rPr>
        <w:t xml:space="preserve">4 x 4 mm </w:t>
      </w:r>
      <w:r w:rsidR="008F3587" w:rsidRPr="00C77478">
        <w:rPr>
          <w:highlight w:val="yellow"/>
        </w:rPr>
        <w:t xml:space="preserve">were machined out of </w:t>
      </w:r>
      <w:r w:rsidR="00020892" w:rsidRPr="00C77478">
        <w:rPr>
          <w:highlight w:val="yellow"/>
        </w:rPr>
        <w:t xml:space="preserve">transverse section </w:t>
      </w:r>
      <w:r w:rsidR="008F3587" w:rsidRPr="00C77478">
        <w:rPr>
          <w:highlight w:val="yellow"/>
        </w:rPr>
        <w:t>of</w:t>
      </w:r>
      <w:r w:rsidR="00C41283" w:rsidRPr="00C77478">
        <w:rPr>
          <w:highlight w:val="yellow"/>
        </w:rPr>
        <w:t xml:space="preserve"> deposited coatings. </w:t>
      </w:r>
      <w:r w:rsidR="006C1576" w:rsidRPr="00C77478">
        <w:rPr>
          <w:highlight w:val="yellow"/>
        </w:rPr>
        <w:t>The w</w:t>
      </w:r>
      <w:r w:rsidR="00C41283" w:rsidRPr="00C77478">
        <w:rPr>
          <w:highlight w:val="yellow"/>
        </w:rPr>
        <w:t>ear</w:t>
      </w:r>
      <w:r w:rsidR="006C1576" w:rsidRPr="00C77478">
        <w:rPr>
          <w:highlight w:val="yellow"/>
        </w:rPr>
        <w:t xml:space="preserve"> behavior </w:t>
      </w:r>
      <w:r w:rsidR="00C41283" w:rsidRPr="00C77478">
        <w:rPr>
          <w:highlight w:val="yellow"/>
        </w:rPr>
        <w:t>was measured</w:t>
      </w:r>
      <w:r w:rsidR="00C77478" w:rsidRPr="00C77478">
        <w:rPr>
          <w:highlight w:val="yellow"/>
        </w:rPr>
        <w:t xml:space="preserve"> </w:t>
      </w:r>
      <w:r w:rsidR="008F3587" w:rsidRPr="00C77478">
        <w:rPr>
          <w:highlight w:val="yellow"/>
        </w:rPr>
        <w:t xml:space="preserve">thru </w:t>
      </w:r>
      <w:r w:rsidR="006C1576" w:rsidRPr="00C77478">
        <w:rPr>
          <w:highlight w:val="yellow"/>
        </w:rPr>
        <w:t>the mass loss</w:t>
      </w:r>
      <w:r w:rsidR="006F6011" w:rsidRPr="00C77478">
        <w:rPr>
          <w:highlight w:val="yellow"/>
        </w:rPr>
        <w:t>, weigh</w:t>
      </w:r>
      <w:r w:rsidR="00020892" w:rsidRPr="00C77478">
        <w:rPr>
          <w:highlight w:val="yellow"/>
        </w:rPr>
        <w:t>ing</w:t>
      </w:r>
      <w:r w:rsidR="00C41283" w:rsidRPr="00C77478">
        <w:rPr>
          <w:highlight w:val="yellow"/>
        </w:rPr>
        <w:t xml:space="preserve"> </w:t>
      </w:r>
      <w:r w:rsidR="008F3587" w:rsidRPr="00C77478">
        <w:rPr>
          <w:highlight w:val="yellow"/>
        </w:rPr>
        <w:t xml:space="preserve">the samples </w:t>
      </w:r>
      <w:r w:rsidR="00C41283" w:rsidRPr="00C77478">
        <w:rPr>
          <w:highlight w:val="yellow"/>
        </w:rPr>
        <w:t xml:space="preserve">before </w:t>
      </w:r>
      <w:r w:rsidR="00290CA8" w:rsidRPr="00C77478">
        <w:rPr>
          <w:highlight w:val="yellow"/>
        </w:rPr>
        <w:t xml:space="preserve">every </w:t>
      </w:r>
      <w:r w:rsidR="00C41283" w:rsidRPr="00C77478">
        <w:rPr>
          <w:highlight w:val="yellow"/>
        </w:rPr>
        <w:t>test and after eac</w:t>
      </w:r>
      <w:r w:rsidR="00DF3656" w:rsidRPr="00C77478">
        <w:rPr>
          <w:highlight w:val="yellow"/>
        </w:rPr>
        <w:t>h 250</w:t>
      </w:r>
      <w:r w:rsidR="00020892" w:rsidRPr="00C77478">
        <w:rPr>
          <w:highlight w:val="yellow"/>
        </w:rPr>
        <w:t> </w:t>
      </w:r>
      <w:r w:rsidR="00A05CA7" w:rsidRPr="00C77478">
        <w:rPr>
          <w:highlight w:val="yellow"/>
        </w:rPr>
        <w:t xml:space="preserve">m sliding distance </w:t>
      </w:r>
      <w:r w:rsidR="006C1576" w:rsidRPr="00C77478">
        <w:rPr>
          <w:highlight w:val="yellow"/>
        </w:rPr>
        <w:t>a</w:t>
      </w:r>
      <w:r w:rsidR="00020892" w:rsidRPr="00C77478">
        <w:rPr>
          <w:highlight w:val="yellow"/>
        </w:rPr>
        <w:t>t room temperature.</w:t>
      </w:r>
      <w:r w:rsidR="00CB182D" w:rsidRPr="00C77478">
        <w:rPr>
          <w:highlight w:val="yellow"/>
        </w:rPr>
        <w:t xml:space="preserve"> </w:t>
      </w:r>
      <w:r w:rsidR="00413956" w:rsidRPr="00C77478">
        <w:rPr>
          <w:highlight w:val="yellow"/>
        </w:rPr>
        <w:t>The f</w:t>
      </w:r>
      <w:r w:rsidR="00CB182D" w:rsidRPr="00C77478">
        <w:rPr>
          <w:highlight w:val="yellow"/>
        </w:rPr>
        <w:t>riction</w:t>
      </w:r>
      <w:r w:rsidR="0069105B" w:rsidRPr="00C77478">
        <w:rPr>
          <w:highlight w:val="yellow"/>
        </w:rPr>
        <w:t xml:space="preserve"> coefficient was measured </w:t>
      </w:r>
      <w:r w:rsidR="008F3587" w:rsidRPr="00C77478">
        <w:rPr>
          <w:highlight w:val="yellow"/>
        </w:rPr>
        <w:t xml:space="preserve">utilizing </w:t>
      </w:r>
      <w:r w:rsidR="0069105B" w:rsidRPr="00C77478">
        <w:rPr>
          <w:highlight w:val="yellow"/>
        </w:rPr>
        <w:t>ball</w:t>
      </w:r>
      <w:r w:rsidR="00CB182D" w:rsidRPr="00C77478">
        <w:rPr>
          <w:highlight w:val="yellow"/>
        </w:rPr>
        <w:t>-on-</w:t>
      </w:r>
      <w:r w:rsidR="0069105B" w:rsidRPr="00C77478">
        <w:rPr>
          <w:highlight w:val="yellow"/>
        </w:rPr>
        <w:t xml:space="preserve">flat </w:t>
      </w:r>
      <w:r w:rsidR="00CB182D" w:rsidRPr="00C77478">
        <w:rPr>
          <w:highlight w:val="yellow"/>
        </w:rPr>
        <w:t>sliding test against 6</w:t>
      </w:r>
      <w:r w:rsidR="005E702A" w:rsidRPr="00C77478">
        <w:rPr>
          <w:highlight w:val="yellow"/>
        </w:rPr>
        <w:t> </w:t>
      </w:r>
      <w:r w:rsidR="00CB182D" w:rsidRPr="00C77478">
        <w:rPr>
          <w:highlight w:val="yellow"/>
        </w:rPr>
        <w:t>mm diameter ZrO</w:t>
      </w:r>
      <w:r w:rsidR="00CB182D" w:rsidRPr="00C77478">
        <w:rPr>
          <w:highlight w:val="yellow"/>
          <w:vertAlign w:val="subscript"/>
        </w:rPr>
        <w:t>2</w:t>
      </w:r>
      <w:r w:rsidR="00CB182D" w:rsidRPr="00C77478">
        <w:rPr>
          <w:highlight w:val="yellow"/>
        </w:rPr>
        <w:t xml:space="preserve"> sphere</w:t>
      </w:r>
      <w:r w:rsidR="00C77478" w:rsidRPr="00C77478">
        <w:rPr>
          <w:highlight w:val="yellow"/>
        </w:rPr>
        <w:t xml:space="preserve"> </w:t>
      </w:r>
      <w:r w:rsidR="008F3587" w:rsidRPr="00C77478">
        <w:rPr>
          <w:highlight w:val="yellow"/>
        </w:rPr>
        <w:t xml:space="preserve">with </w:t>
      </w:r>
      <w:r w:rsidR="008039EA" w:rsidRPr="00C77478">
        <w:rPr>
          <w:highlight w:val="yellow"/>
        </w:rPr>
        <w:t>4.</w:t>
      </w:r>
      <w:r w:rsidR="00765BEF" w:rsidRPr="00C77478">
        <w:rPr>
          <w:highlight w:val="yellow"/>
        </w:rPr>
        <w:t>9 N</w:t>
      </w:r>
      <w:r w:rsidR="00CB182D" w:rsidRPr="00C77478">
        <w:rPr>
          <w:highlight w:val="yellow"/>
        </w:rPr>
        <w:t xml:space="preserve"> </w:t>
      </w:r>
      <w:r w:rsidR="00A917CA" w:rsidRPr="00C77478">
        <w:rPr>
          <w:highlight w:val="yellow"/>
        </w:rPr>
        <w:t>axial load, 1</w:t>
      </w:r>
      <w:r w:rsidR="00CB182D" w:rsidRPr="00C77478">
        <w:rPr>
          <w:highlight w:val="yellow"/>
        </w:rPr>
        <w:t>50</w:t>
      </w:r>
      <w:r w:rsidR="005E702A" w:rsidRPr="00C77478">
        <w:rPr>
          <w:highlight w:val="yellow"/>
        </w:rPr>
        <w:t> </w:t>
      </w:r>
      <w:r w:rsidR="00CB182D" w:rsidRPr="00C77478">
        <w:rPr>
          <w:highlight w:val="yellow"/>
        </w:rPr>
        <w:t xml:space="preserve">m </w:t>
      </w:r>
      <w:r w:rsidR="00A917CA" w:rsidRPr="00C77478">
        <w:rPr>
          <w:highlight w:val="yellow"/>
        </w:rPr>
        <w:t xml:space="preserve">total distance and </w:t>
      </w:r>
      <w:r w:rsidR="00727904" w:rsidRPr="00C77478">
        <w:rPr>
          <w:highlight w:val="yellow"/>
        </w:rPr>
        <w:t xml:space="preserve">20 mm/s </w:t>
      </w:r>
      <w:r w:rsidR="008907DF" w:rsidRPr="00C77478">
        <w:rPr>
          <w:highlight w:val="yellow"/>
        </w:rPr>
        <w:t>maximum travel speed</w:t>
      </w:r>
      <w:r w:rsidR="00CB182D" w:rsidRPr="00C77478">
        <w:rPr>
          <w:highlight w:val="yellow"/>
        </w:rPr>
        <w:t>.</w:t>
      </w:r>
      <w:r w:rsidR="00B11C53">
        <w:t xml:space="preserve"> </w:t>
      </w:r>
    </w:p>
    <w:p w:rsidR="00F37B7B" w:rsidRDefault="00F37B7B" w:rsidP="00387AB9">
      <w:pPr>
        <w:pStyle w:val="Recuodecorpodetexto"/>
        <w:spacing w:line="480" w:lineRule="auto"/>
        <w:ind w:firstLine="0"/>
      </w:pPr>
    </w:p>
    <w:p w:rsidR="00281415" w:rsidRPr="00FB44C4" w:rsidRDefault="00281415" w:rsidP="00387AB9">
      <w:pPr>
        <w:pStyle w:val="Recuodecorpodetexto"/>
        <w:spacing w:line="480" w:lineRule="auto"/>
        <w:ind w:firstLine="0"/>
      </w:pPr>
    </w:p>
    <w:p w:rsidR="002276B0" w:rsidRPr="00FB44C4" w:rsidRDefault="002276B0" w:rsidP="007A3EE6">
      <w:pPr>
        <w:spacing w:line="480" w:lineRule="auto"/>
        <w:jc w:val="both"/>
        <w:rPr>
          <w:b/>
        </w:rPr>
      </w:pPr>
      <w:r w:rsidRPr="00FB44C4">
        <w:rPr>
          <w:b/>
        </w:rPr>
        <w:t>3. Results and discussion</w:t>
      </w:r>
    </w:p>
    <w:p w:rsidR="002276B0" w:rsidRPr="00FB44C4" w:rsidRDefault="002276B0" w:rsidP="007A3EE6">
      <w:pPr>
        <w:spacing w:line="480" w:lineRule="auto"/>
        <w:jc w:val="both"/>
        <w:rPr>
          <w:b/>
        </w:rPr>
      </w:pPr>
      <w:r w:rsidRPr="00FB44C4">
        <w:rPr>
          <w:b/>
        </w:rPr>
        <w:t xml:space="preserve">3.1. </w:t>
      </w:r>
      <w:r w:rsidR="004B1B2E" w:rsidRPr="00FB44C4">
        <w:rPr>
          <w:b/>
        </w:rPr>
        <w:t>Soundness</w:t>
      </w:r>
    </w:p>
    <w:p w:rsidR="00BE2B04" w:rsidRPr="00FB44C4" w:rsidRDefault="00E13DD9" w:rsidP="00BF5AC7">
      <w:pPr>
        <w:spacing w:line="480" w:lineRule="auto"/>
        <w:ind w:firstLine="708"/>
        <w:jc w:val="both"/>
      </w:pPr>
      <w:r w:rsidRPr="00B6546B">
        <w:rPr>
          <w:highlight w:val="yellow"/>
        </w:rPr>
        <w:t>Coatings</w:t>
      </w:r>
      <w:r w:rsidRPr="00FB44C4">
        <w:t xml:space="preserve"> </w:t>
      </w:r>
      <w:r w:rsidR="00AF5336" w:rsidRPr="00AF5336">
        <w:rPr>
          <w:highlight w:val="yellow"/>
        </w:rPr>
        <w:t>v</w:t>
      </w:r>
      <w:r w:rsidR="00BE2B04" w:rsidRPr="00FB44C4">
        <w:t xml:space="preserve">isual inspection </w:t>
      </w:r>
      <w:r w:rsidR="00B254DD" w:rsidRPr="00FB44C4">
        <w:t>revealed a smooth surface with</w:t>
      </w:r>
      <w:r>
        <w:t xml:space="preserve"> </w:t>
      </w:r>
      <w:r w:rsidRPr="00B6546B">
        <w:rPr>
          <w:highlight w:val="yellow"/>
        </w:rPr>
        <w:t>no</w:t>
      </w:r>
      <w:r w:rsidR="00B254DD" w:rsidRPr="00FB44C4">
        <w:t xml:space="preserve"> </w:t>
      </w:r>
      <w:r w:rsidR="00BE2B04" w:rsidRPr="00FB44C4">
        <w:t>welding defects</w:t>
      </w:r>
      <w:r w:rsidR="007925EE">
        <w:t xml:space="preserve">. </w:t>
      </w:r>
      <w:r w:rsidRPr="00B6546B">
        <w:rPr>
          <w:highlight w:val="yellow"/>
        </w:rPr>
        <w:t>E</w:t>
      </w:r>
      <w:r w:rsidR="007925EE">
        <w:t>vidence</w:t>
      </w:r>
      <w:r w:rsidR="00B254DD" w:rsidRPr="00FB44C4">
        <w:t xml:space="preserve"> of spatter, undercut, porosity or cracks </w:t>
      </w:r>
      <w:r w:rsidRPr="00B6546B">
        <w:rPr>
          <w:highlight w:val="yellow"/>
        </w:rPr>
        <w:t>was not</w:t>
      </w:r>
      <w:r>
        <w:t xml:space="preserve"> </w:t>
      </w:r>
      <w:r w:rsidR="00B254DD" w:rsidRPr="00FB44C4">
        <w:t xml:space="preserve">found. </w:t>
      </w:r>
      <w:r w:rsidR="00BE2B04" w:rsidRPr="00FB44C4">
        <w:t>This macroscopic evaluation is coherent with literature</w:t>
      </w:r>
      <w:r w:rsidR="007925EE">
        <w:t xml:space="preserve"> prediction</w:t>
      </w:r>
      <w:r w:rsidR="00E86AED" w:rsidRPr="00FB44C4">
        <w:t xml:space="preserve"> that </w:t>
      </w:r>
      <w:proofErr w:type="spellStart"/>
      <w:r w:rsidR="00E86AED" w:rsidRPr="00FB44C4">
        <w:t>Tribal</w:t>
      </w:r>
      <w:r w:rsidR="00CA17BE" w:rsidRPr="00FB44C4">
        <w:t>oy</w:t>
      </w:r>
      <w:proofErr w:type="spellEnd"/>
      <w:r w:rsidR="007925EE">
        <w:t> </w:t>
      </w:r>
      <w:r w:rsidR="00BE2B04" w:rsidRPr="00FB44C4">
        <w:t xml:space="preserve">T400 has an improved </w:t>
      </w:r>
      <w:proofErr w:type="spellStart"/>
      <w:r w:rsidR="00592FD3" w:rsidRPr="00FB44C4">
        <w:t>weldability</w:t>
      </w:r>
      <w:proofErr w:type="spellEnd"/>
      <w:r w:rsidR="00592FD3" w:rsidRPr="00FB44C4">
        <w:t xml:space="preserve"> </w:t>
      </w:r>
      <w:proofErr w:type="spellStart"/>
      <w:r w:rsidRPr="00B6546B">
        <w:rPr>
          <w:highlight w:val="yellow"/>
        </w:rPr>
        <w:t>decorrent</w:t>
      </w:r>
      <w:proofErr w:type="spellEnd"/>
      <w:r w:rsidRPr="00B6546B">
        <w:rPr>
          <w:highlight w:val="yellow"/>
        </w:rPr>
        <w:t xml:space="preserve"> of</w:t>
      </w:r>
      <w:r>
        <w:t xml:space="preserve"> </w:t>
      </w:r>
      <w:r w:rsidR="00930D91">
        <w:t xml:space="preserve"> </w:t>
      </w:r>
      <w:r w:rsidR="003A664A">
        <w:t xml:space="preserve">the lower volume fraction of </w:t>
      </w:r>
      <w:r w:rsidRPr="00B6546B">
        <w:rPr>
          <w:highlight w:val="yellow"/>
        </w:rPr>
        <w:t>the Laves</w:t>
      </w:r>
      <w:r>
        <w:t xml:space="preserve"> </w:t>
      </w:r>
      <w:r w:rsidR="007228A2" w:rsidRPr="007228A2">
        <w:rPr>
          <w:highlight w:val="yellow"/>
        </w:rPr>
        <w:t>hard</w:t>
      </w:r>
      <w:r w:rsidR="007228A2">
        <w:t xml:space="preserve"> </w:t>
      </w:r>
      <w:r w:rsidR="003A664A">
        <w:t>phase</w:t>
      </w:r>
      <w:r w:rsidR="003A664A" w:rsidRPr="00FB44C4">
        <w:t xml:space="preserve"> </w:t>
      </w:r>
      <w:r w:rsidR="00592FD3" w:rsidRPr="00FB44C4">
        <w:t>compared to C</w:t>
      </w:r>
      <w:r w:rsidR="007534EC">
        <w:t>h</w:t>
      </w:r>
      <w:r w:rsidR="00592FD3" w:rsidRPr="00FB44C4">
        <w:t>r</w:t>
      </w:r>
      <w:r w:rsidR="007534EC">
        <w:t>omium</w:t>
      </w:r>
      <w:r w:rsidR="00BE2B04" w:rsidRPr="00FB44C4">
        <w:t xml:space="preserve"> and Si</w:t>
      </w:r>
      <w:r w:rsidR="007534EC">
        <w:t>licon</w:t>
      </w:r>
      <w:r w:rsidR="003A664A">
        <w:t xml:space="preserve"> richer</w:t>
      </w:r>
      <w:r w:rsidR="007534EC">
        <w:t xml:space="preserve"> </w:t>
      </w:r>
      <w:r w:rsidR="003A664A">
        <w:t>alloy</w:t>
      </w:r>
      <w:r w:rsidR="00FE3260">
        <w:t>s</w:t>
      </w:r>
      <w:r w:rsidR="002E2EBD">
        <w:t xml:space="preserve"> </w:t>
      </w:r>
      <w:r w:rsidR="00AA2D79">
        <w:t xml:space="preserve">(Ref </w:t>
      </w:r>
      <w:r w:rsidR="00702CB9">
        <w:t>9</w:t>
      </w:r>
      <w:r w:rsidR="00AA2D79">
        <w:t>)</w:t>
      </w:r>
      <w:r w:rsidR="00BE2B04" w:rsidRPr="00FB44C4">
        <w:t xml:space="preserve">. </w:t>
      </w:r>
      <w:r w:rsidR="00BE2B04" w:rsidRPr="00B6546B">
        <w:rPr>
          <w:highlight w:val="yellow"/>
        </w:rPr>
        <w:t xml:space="preserve">However, limited data is available </w:t>
      </w:r>
      <w:r w:rsidRPr="00B6546B">
        <w:rPr>
          <w:highlight w:val="yellow"/>
        </w:rPr>
        <w:t xml:space="preserve">relating </w:t>
      </w:r>
      <w:proofErr w:type="spellStart"/>
      <w:r w:rsidR="00B6546B" w:rsidRPr="00B6546B">
        <w:rPr>
          <w:highlight w:val="yellow"/>
        </w:rPr>
        <w:t>T</w:t>
      </w:r>
      <w:r w:rsidR="001316BE" w:rsidRPr="00B6546B">
        <w:rPr>
          <w:highlight w:val="yellow"/>
        </w:rPr>
        <w:t>ribaloy</w:t>
      </w:r>
      <w:proofErr w:type="spellEnd"/>
      <w:r w:rsidR="001316BE" w:rsidRPr="00B6546B">
        <w:rPr>
          <w:highlight w:val="yellow"/>
        </w:rPr>
        <w:t xml:space="preserve"> </w:t>
      </w:r>
      <w:r w:rsidR="00BE2B04" w:rsidRPr="00B6546B">
        <w:rPr>
          <w:highlight w:val="yellow"/>
        </w:rPr>
        <w:t>T40</w:t>
      </w:r>
      <w:r w:rsidR="00A13031" w:rsidRPr="00B6546B">
        <w:rPr>
          <w:highlight w:val="yellow"/>
        </w:rPr>
        <w:t xml:space="preserve">0  </w:t>
      </w:r>
      <w:r w:rsidR="00FE3260" w:rsidRPr="00B6546B">
        <w:rPr>
          <w:highlight w:val="yellow"/>
        </w:rPr>
        <w:lastRenderedPageBreak/>
        <w:t>interaction with the substrate (</w:t>
      </w:r>
      <w:r w:rsidR="001316BE" w:rsidRPr="00B6546B">
        <w:rPr>
          <w:highlight w:val="yellow"/>
        </w:rPr>
        <w:t>dilution</w:t>
      </w:r>
      <w:r w:rsidR="00FE3260" w:rsidRPr="00B6546B">
        <w:rPr>
          <w:highlight w:val="yellow"/>
        </w:rPr>
        <w:t>)</w:t>
      </w:r>
      <w:r w:rsidR="001316BE" w:rsidRPr="00B6546B">
        <w:rPr>
          <w:highlight w:val="yellow"/>
        </w:rPr>
        <w:t xml:space="preserve"> </w:t>
      </w:r>
      <w:r w:rsidR="007228A2" w:rsidRPr="00B6546B">
        <w:rPr>
          <w:highlight w:val="yellow"/>
        </w:rPr>
        <w:t xml:space="preserve">and its effect </w:t>
      </w:r>
      <w:r w:rsidR="001316BE" w:rsidRPr="00B6546B">
        <w:rPr>
          <w:highlight w:val="yellow"/>
        </w:rPr>
        <w:t>on</w:t>
      </w:r>
      <w:r w:rsidR="00BE2B04" w:rsidRPr="00B6546B">
        <w:rPr>
          <w:highlight w:val="yellow"/>
        </w:rPr>
        <w:t xml:space="preserve"> </w:t>
      </w:r>
      <w:r w:rsidRPr="00B6546B">
        <w:rPr>
          <w:highlight w:val="yellow"/>
        </w:rPr>
        <w:t xml:space="preserve">coatings </w:t>
      </w:r>
      <w:r w:rsidR="00910188" w:rsidRPr="00B6546B">
        <w:rPr>
          <w:highlight w:val="yellow"/>
        </w:rPr>
        <w:t>chemical composition,</w:t>
      </w:r>
      <w:r w:rsidR="0027362B" w:rsidRPr="00B6546B">
        <w:rPr>
          <w:highlight w:val="yellow"/>
        </w:rPr>
        <w:t xml:space="preserve"> </w:t>
      </w:r>
      <w:r w:rsidR="001316BE" w:rsidRPr="00B6546B">
        <w:rPr>
          <w:highlight w:val="yellow"/>
        </w:rPr>
        <w:t>micro</w:t>
      </w:r>
      <w:r w:rsidR="0027362B" w:rsidRPr="00B6546B">
        <w:rPr>
          <w:highlight w:val="yellow"/>
        </w:rPr>
        <w:t>structure</w:t>
      </w:r>
      <w:r w:rsidR="001316BE" w:rsidRPr="00B6546B">
        <w:rPr>
          <w:highlight w:val="yellow"/>
        </w:rPr>
        <w:t xml:space="preserve"> </w:t>
      </w:r>
      <w:r w:rsidR="00910188" w:rsidRPr="00B6546B">
        <w:rPr>
          <w:highlight w:val="yellow"/>
        </w:rPr>
        <w:t>and properties</w:t>
      </w:r>
      <w:r w:rsidR="00CA17BE" w:rsidRPr="00B6546B">
        <w:rPr>
          <w:highlight w:val="yellow"/>
        </w:rPr>
        <w:t>.</w:t>
      </w:r>
    </w:p>
    <w:p w:rsidR="005F78C3" w:rsidRPr="00FB44C4" w:rsidRDefault="00E13DD9" w:rsidP="00BF5AC7">
      <w:pPr>
        <w:spacing w:line="480" w:lineRule="auto"/>
        <w:ind w:firstLine="708"/>
        <w:jc w:val="both"/>
      </w:pPr>
      <w:r w:rsidRPr="003913A7">
        <w:rPr>
          <w:highlight w:val="yellow"/>
        </w:rPr>
        <w:t>D</w:t>
      </w:r>
      <w:r w:rsidR="001106AF" w:rsidRPr="003913A7">
        <w:rPr>
          <w:highlight w:val="yellow"/>
        </w:rPr>
        <w:t>ifferences on</w:t>
      </w:r>
      <w:r w:rsidR="00B254DD" w:rsidRPr="003913A7">
        <w:rPr>
          <w:highlight w:val="yellow"/>
        </w:rPr>
        <w:t xml:space="preserve"> ge</w:t>
      </w:r>
      <w:r w:rsidR="00524149" w:rsidRPr="003913A7">
        <w:rPr>
          <w:highlight w:val="yellow"/>
        </w:rPr>
        <w:t>ometry</w:t>
      </w:r>
      <w:r w:rsidRPr="003913A7">
        <w:rPr>
          <w:highlight w:val="yellow"/>
        </w:rPr>
        <w:t xml:space="preserve"> due to current intensity variation were</w:t>
      </w:r>
      <w:r w:rsidR="0027116F" w:rsidRPr="003913A7">
        <w:rPr>
          <w:highlight w:val="yellow"/>
        </w:rPr>
        <w:t xml:space="preserve"> </w:t>
      </w:r>
      <w:r w:rsidR="00B254DD" w:rsidRPr="003913A7">
        <w:rPr>
          <w:highlight w:val="yellow"/>
        </w:rPr>
        <w:t>measured</w:t>
      </w:r>
      <w:r w:rsidR="00F10B0F" w:rsidRPr="003913A7">
        <w:rPr>
          <w:highlight w:val="yellow"/>
        </w:rPr>
        <w:t xml:space="preserve"> and </w:t>
      </w:r>
      <w:r w:rsidRPr="003913A7">
        <w:rPr>
          <w:highlight w:val="yellow"/>
        </w:rPr>
        <w:t>are presented on table 3</w:t>
      </w:r>
      <w:r w:rsidR="003913A7" w:rsidRPr="003913A7">
        <w:rPr>
          <w:highlight w:val="yellow"/>
        </w:rPr>
        <w:t xml:space="preserve"> and</w:t>
      </w:r>
      <w:r w:rsidRPr="003913A7">
        <w:rPr>
          <w:highlight w:val="yellow"/>
        </w:rPr>
        <w:t xml:space="preserve"> </w:t>
      </w:r>
      <w:r w:rsidR="00E07CD0" w:rsidRPr="003913A7">
        <w:rPr>
          <w:highlight w:val="yellow"/>
        </w:rPr>
        <w:t>F</w:t>
      </w:r>
      <w:r w:rsidR="00B254DD" w:rsidRPr="003913A7">
        <w:rPr>
          <w:highlight w:val="yellow"/>
        </w:rPr>
        <w:t>ig</w:t>
      </w:r>
      <w:r w:rsidR="00E07CD0" w:rsidRPr="003913A7">
        <w:rPr>
          <w:highlight w:val="yellow"/>
        </w:rPr>
        <w:t>.</w:t>
      </w:r>
      <w:r w:rsidR="00B254DD" w:rsidRPr="003913A7">
        <w:rPr>
          <w:highlight w:val="yellow"/>
        </w:rPr>
        <w:t xml:space="preserve"> 1.</w:t>
      </w:r>
      <w:r w:rsidR="00F10B0F" w:rsidRPr="003913A7">
        <w:rPr>
          <w:highlight w:val="yellow"/>
        </w:rPr>
        <w:t xml:space="preserve"> </w:t>
      </w:r>
      <w:r w:rsidR="00930D91" w:rsidRPr="0009525F">
        <w:rPr>
          <w:highlight w:val="yellow"/>
        </w:rPr>
        <w:t>C</w:t>
      </w:r>
      <w:r w:rsidR="00F10B0F" w:rsidRPr="0009525F">
        <w:rPr>
          <w:highlight w:val="yellow"/>
        </w:rPr>
        <w:t xml:space="preserve">oatings </w:t>
      </w:r>
      <w:r w:rsidR="00930D91" w:rsidRPr="0009525F">
        <w:rPr>
          <w:highlight w:val="yellow"/>
        </w:rPr>
        <w:t xml:space="preserve">processed </w:t>
      </w:r>
      <w:r w:rsidR="00524149" w:rsidRPr="0009525F">
        <w:rPr>
          <w:highlight w:val="yellow"/>
        </w:rPr>
        <w:t xml:space="preserve">as single track </w:t>
      </w:r>
      <w:r w:rsidR="00930D91" w:rsidRPr="0009525F">
        <w:rPr>
          <w:highlight w:val="yellow"/>
        </w:rPr>
        <w:t>with 120 A exhibited the</w:t>
      </w:r>
      <w:r w:rsidR="00F10B0F" w:rsidRPr="0009525F">
        <w:rPr>
          <w:highlight w:val="yellow"/>
        </w:rPr>
        <w:t xml:space="preserve"> lowe</w:t>
      </w:r>
      <w:r w:rsidR="00930D91" w:rsidRPr="0009525F">
        <w:rPr>
          <w:highlight w:val="yellow"/>
        </w:rPr>
        <w:t>st</w:t>
      </w:r>
      <w:r w:rsidR="00F10B0F" w:rsidRPr="0009525F">
        <w:rPr>
          <w:highlight w:val="yellow"/>
        </w:rPr>
        <w:t xml:space="preserve"> </w:t>
      </w:r>
      <w:proofErr w:type="spellStart"/>
      <w:r w:rsidR="00F10B0F" w:rsidRPr="0009525F">
        <w:rPr>
          <w:highlight w:val="yellow"/>
        </w:rPr>
        <w:t>wettability</w:t>
      </w:r>
      <w:proofErr w:type="spellEnd"/>
      <w:r w:rsidR="00F10B0F" w:rsidRPr="0009525F">
        <w:rPr>
          <w:highlight w:val="yellow"/>
        </w:rPr>
        <w:t>, confirmed by the highe</w:t>
      </w:r>
      <w:r w:rsidR="00930D91" w:rsidRPr="0009525F">
        <w:rPr>
          <w:highlight w:val="yellow"/>
        </w:rPr>
        <w:t>st</w:t>
      </w:r>
      <w:r w:rsidR="00F10B0F" w:rsidRPr="0009525F">
        <w:rPr>
          <w:highlight w:val="yellow"/>
        </w:rPr>
        <w:t xml:space="preserve"> </w:t>
      </w:r>
      <w:proofErr w:type="spellStart"/>
      <w:r w:rsidR="00104CBC" w:rsidRPr="0009525F">
        <w:rPr>
          <w:highlight w:val="yellow"/>
        </w:rPr>
        <w:t>wettability</w:t>
      </w:r>
      <w:proofErr w:type="spellEnd"/>
      <w:r w:rsidR="00104CBC" w:rsidRPr="0009525F">
        <w:rPr>
          <w:highlight w:val="yellow"/>
        </w:rPr>
        <w:t xml:space="preserve"> angle</w:t>
      </w:r>
      <w:r w:rsidR="00524149" w:rsidRPr="0009525F">
        <w:rPr>
          <w:highlight w:val="yellow"/>
        </w:rPr>
        <w:t> </w:t>
      </w:r>
      <w:r w:rsidR="00104CBC" w:rsidRPr="0009525F">
        <w:rPr>
          <w:highlight w:val="yellow"/>
        </w:rPr>
        <w:t>(</w:t>
      </w:r>
      <w:r w:rsidR="00F10B0F" w:rsidRPr="0009525F">
        <w:rPr>
          <w:highlight w:val="yellow"/>
        </w:rPr>
        <w:t>Θ</w:t>
      </w:r>
      <w:r w:rsidR="00104CBC" w:rsidRPr="0009525F">
        <w:rPr>
          <w:highlight w:val="yellow"/>
        </w:rPr>
        <w:t xml:space="preserve">) and reinforcement </w:t>
      </w:r>
      <w:r w:rsidR="00F10B0F" w:rsidRPr="0009525F">
        <w:rPr>
          <w:highlight w:val="yellow"/>
        </w:rPr>
        <w:t>thickness</w:t>
      </w:r>
      <w:r w:rsidR="00104CBC" w:rsidRPr="0009525F">
        <w:rPr>
          <w:highlight w:val="yellow"/>
        </w:rPr>
        <w:t xml:space="preserve"> (t)</w:t>
      </w:r>
      <w:r w:rsidR="00F10B0F" w:rsidRPr="0009525F">
        <w:rPr>
          <w:highlight w:val="yellow"/>
        </w:rPr>
        <w:t xml:space="preserve"> and shallowe</w:t>
      </w:r>
      <w:r w:rsidR="00930D91" w:rsidRPr="0009525F">
        <w:rPr>
          <w:highlight w:val="yellow"/>
        </w:rPr>
        <w:t>st</w:t>
      </w:r>
      <w:r w:rsidR="00F10B0F" w:rsidRPr="0009525F">
        <w:rPr>
          <w:highlight w:val="yellow"/>
        </w:rPr>
        <w:t xml:space="preserve"> width compared to </w:t>
      </w:r>
      <w:r w:rsidR="00524149" w:rsidRPr="0009525F">
        <w:rPr>
          <w:highlight w:val="yellow"/>
        </w:rPr>
        <w:t xml:space="preserve">that </w:t>
      </w:r>
      <w:r w:rsidR="00F10B0F" w:rsidRPr="0009525F">
        <w:rPr>
          <w:highlight w:val="yellow"/>
        </w:rPr>
        <w:t xml:space="preserve">processed </w:t>
      </w:r>
      <w:r w:rsidR="00F10B0F" w:rsidRPr="003913A7">
        <w:rPr>
          <w:highlight w:val="yellow"/>
        </w:rPr>
        <w:t xml:space="preserve">with </w:t>
      </w:r>
      <w:r w:rsidRPr="003913A7">
        <w:rPr>
          <w:highlight w:val="yellow"/>
        </w:rPr>
        <w:t xml:space="preserve">the </w:t>
      </w:r>
      <w:r w:rsidR="00104CBC" w:rsidRPr="003913A7">
        <w:rPr>
          <w:highlight w:val="yellow"/>
        </w:rPr>
        <w:t xml:space="preserve">higher </w:t>
      </w:r>
      <w:r w:rsidR="00F90AEC" w:rsidRPr="003913A7">
        <w:rPr>
          <w:highlight w:val="yellow"/>
        </w:rPr>
        <w:t>current</w:t>
      </w:r>
      <w:r w:rsidRPr="003913A7">
        <w:rPr>
          <w:highlight w:val="yellow"/>
        </w:rPr>
        <w:t xml:space="preserve"> (180A)</w:t>
      </w:r>
      <w:r w:rsidR="00186336" w:rsidRPr="003913A7">
        <w:rPr>
          <w:highlight w:val="yellow"/>
        </w:rPr>
        <w:t xml:space="preserve">, </w:t>
      </w:r>
      <w:r w:rsidR="000A6757" w:rsidRPr="003913A7">
        <w:rPr>
          <w:highlight w:val="yellow"/>
        </w:rPr>
        <w:t>T</w:t>
      </w:r>
      <w:r w:rsidR="005F78C3" w:rsidRPr="003913A7">
        <w:rPr>
          <w:highlight w:val="yellow"/>
        </w:rPr>
        <w:t xml:space="preserve">able </w:t>
      </w:r>
      <w:r w:rsidR="00E07CD0" w:rsidRPr="0009525F">
        <w:rPr>
          <w:highlight w:val="yellow"/>
        </w:rPr>
        <w:t>3</w:t>
      </w:r>
      <w:r w:rsidR="005F78C3" w:rsidRPr="0009525F">
        <w:rPr>
          <w:highlight w:val="yellow"/>
        </w:rPr>
        <w:t>.</w:t>
      </w:r>
      <w:r w:rsidR="00815429" w:rsidRPr="0009525F">
        <w:rPr>
          <w:highlight w:val="yellow"/>
        </w:rPr>
        <w:t xml:space="preserve"> </w:t>
      </w:r>
      <w:r w:rsidR="006C343E" w:rsidRPr="0009525F">
        <w:rPr>
          <w:highlight w:val="yellow"/>
        </w:rPr>
        <w:t>A</w:t>
      </w:r>
      <w:r w:rsidR="000B4C2F" w:rsidRPr="0009525F">
        <w:rPr>
          <w:highlight w:val="yellow"/>
        </w:rPr>
        <w:t>s</w:t>
      </w:r>
      <w:r w:rsidR="00815429" w:rsidRPr="0009525F">
        <w:rPr>
          <w:highlight w:val="yellow"/>
        </w:rPr>
        <w:t xml:space="preserve"> </w:t>
      </w:r>
      <w:r w:rsidR="003913A7">
        <w:rPr>
          <w:highlight w:val="yellow"/>
        </w:rPr>
        <w:t>d</w:t>
      </w:r>
      <w:r w:rsidR="000B4C2F" w:rsidRPr="0009525F">
        <w:rPr>
          <w:highlight w:val="yellow"/>
        </w:rPr>
        <w:t xml:space="preserve">eposition </w:t>
      </w:r>
      <w:r w:rsidR="00815429" w:rsidRPr="0009525F">
        <w:rPr>
          <w:highlight w:val="yellow"/>
        </w:rPr>
        <w:t>current increase</w:t>
      </w:r>
      <w:r w:rsidRPr="003913A7">
        <w:rPr>
          <w:highlight w:val="yellow"/>
        </w:rPr>
        <w:t>s</w:t>
      </w:r>
      <w:r w:rsidR="00815429" w:rsidRPr="0009525F">
        <w:rPr>
          <w:highlight w:val="yellow"/>
        </w:rPr>
        <w:t xml:space="preserve">, dilution </w:t>
      </w:r>
      <w:r w:rsidRPr="003913A7">
        <w:rPr>
          <w:highlight w:val="yellow"/>
        </w:rPr>
        <w:t xml:space="preserve">levels rise </w:t>
      </w:r>
      <w:r w:rsidR="000B4C2F" w:rsidRPr="003913A7">
        <w:rPr>
          <w:highlight w:val="yellow"/>
        </w:rPr>
        <w:t xml:space="preserve">from </w:t>
      </w:r>
      <w:r w:rsidR="005223E7" w:rsidRPr="0009525F">
        <w:rPr>
          <w:highlight w:val="yellow"/>
        </w:rPr>
        <w:t>18</w:t>
      </w:r>
      <w:r w:rsidR="00CE2C1E" w:rsidRPr="0009525F">
        <w:rPr>
          <w:highlight w:val="yellow"/>
        </w:rPr>
        <w:t xml:space="preserve"> </w:t>
      </w:r>
      <w:r w:rsidR="000B4C2F" w:rsidRPr="0009525F">
        <w:rPr>
          <w:highlight w:val="yellow"/>
        </w:rPr>
        <w:t>to</w:t>
      </w:r>
      <w:r w:rsidR="005223E7" w:rsidRPr="0009525F">
        <w:rPr>
          <w:highlight w:val="yellow"/>
        </w:rPr>
        <w:t xml:space="preserve"> 38</w:t>
      </w:r>
      <w:r w:rsidR="00CE2C1E" w:rsidRPr="0009525F">
        <w:rPr>
          <w:highlight w:val="yellow"/>
        </w:rPr>
        <w:t> %</w:t>
      </w:r>
      <w:r w:rsidR="000B4C2F" w:rsidRPr="0009525F">
        <w:rPr>
          <w:highlight w:val="yellow"/>
        </w:rPr>
        <w:t>,</w:t>
      </w:r>
      <w:r w:rsidR="00CE2C1E" w:rsidRPr="0009525F">
        <w:rPr>
          <w:highlight w:val="yellow"/>
        </w:rPr>
        <w:t xml:space="preserve"> </w:t>
      </w:r>
      <w:r w:rsidR="00FF268A">
        <w:rPr>
          <w:highlight w:val="yellow"/>
        </w:rPr>
        <w:t xml:space="preserve">as a consequence of </w:t>
      </w:r>
      <w:r w:rsidRPr="003913A7">
        <w:rPr>
          <w:highlight w:val="yellow"/>
        </w:rPr>
        <w:t>the</w:t>
      </w:r>
      <w:r w:rsidRPr="00E13DD9">
        <w:rPr>
          <w:highlight w:val="green"/>
        </w:rPr>
        <w:t xml:space="preserve"> </w:t>
      </w:r>
      <w:r w:rsidR="00FF268A">
        <w:rPr>
          <w:highlight w:val="yellow"/>
        </w:rPr>
        <w:t xml:space="preserve">higher </w:t>
      </w:r>
      <w:r w:rsidR="00557A94" w:rsidRPr="00E13DD9">
        <w:rPr>
          <w:highlight w:val="yellow"/>
        </w:rPr>
        <w:t xml:space="preserve">temperature of </w:t>
      </w:r>
      <w:r w:rsidR="00557A94" w:rsidRPr="003913A7">
        <w:rPr>
          <w:highlight w:val="yellow"/>
        </w:rPr>
        <w:t xml:space="preserve">the </w:t>
      </w:r>
      <w:r w:rsidRPr="003913A7">
        <w:rPr>
          <w:highlight w:val="yellow"/>
        </w:rPr>
        <w:t>system (</w:t>
      </w:r>
      <w:r w:rsidR="00FF268A" w:rsidRPr="003913A7">
        <w:rPr>
          <w:highlight w:val="yellow"/>
        </w:rPr>
        <w:t>alloy and substrate</w:t>
      </w:r>
      <w:r w:rsidRPr="00FB50E8">
        <w:rPr>
          <w:highlight w:val="yellow"/>
        </w:rPr>
        <w:t>)</w:t>
      </w:r>
      <w:r w:rsidR="00C45A8C" w:rsidRPr="00FB50E8">
        <w:rPr>
          <w:highlight w:val="yellow"/>
        </w:rPr>
        <w:t>.</w:t>
      </w:r>
      <w:r w:rsidR="007600AA" w:rsidRPr="00FB50E8">
        <w:rPr>
          <w:highlight w:val="yellow"/>
        </w:rPr>
        <w:t xml:space="preserve"> </w:t>
      </w:r>
      <w:r w:rsidR="000D3C22" w:rsidRPr="00FB50E8">
        <w:rPr>
          <w:highlight w:val="yellow"/>
        </w:rPr>
        <w:t>T</w:t>
      </w:r>
      <w:r w:rsidR="007600AA" w:rsidRPr="00FB50E8">
        <w:rPr>
          <w:highlight w:val="yellow"/>
        </w:rPr>
        <w:t xml:space="preserve">he </w:t>
      </w:r>
      <w:r w:rsidR="00E86227" w:rsidRPr="00FB50E8">
        <w:rPr>
          <w:highlight w:val="yellow"/>
        </w:rPr>
        <w:t xml:space="preserve">higher </w:t>
      </w:r>
      <w:r w:rsidR="007600AA" w:rsidRPr="00FB50E8">
        <w:rPr>
          <w:highlight w:val="yellow"/>
        </w:rPr>
        <w:t xml:space="preserve">interaction </w:t>
      </w:r>
      <w:r w:rsidR="000D3C22" w:rsidRPr="00FB50E8">
        <w:rPr>
          <w:highlight w:val="yellow"/>
        </w:rPr>
        <w:t>with t</w:t>
      </w:r>
      <w:r w:rsidR="007600AA" w:rsidRPr="00FB50E8">
        <w:rPr>
          <w:highlight w:val="yellow"/>
        </w:rPr>
        <w:t xml:space="preserve">he substrate </w:t>
      </w:r>
      <w:r w:rsidR="00370594" w:rsidRPr="00FB50E8">
        <w:rPr>
          <w:highlight w:val="yellow"/>
        </w:rPr>
        <w:t xml:space="preserve">induces </w:t>
      </w:r>
      <w:r w:rsidRPr="00FB50E8">
        <w:rPr>
          <w:highlight w:val="yellow"/>
        </w:rPr>
        <w:t>coatings</w:t>
      </w:r>
      <w:r w:rsidRPr="00FB50E8">
        <w:rPr>
          <w:color w:val="FF0000"/>
          <w:highlight w:val="yellow"/>
        </w:rPr>
        <w:t> </w:t>
      </w:r>
      <w:r w:rsidR="007600AA" w:rsidRPr="00FB50E8">
        <w:rPr>
          <w:highlight w:val="yellow"/>
        </w:rPr>
        <w:t>chemical composition</w:t>
      </w:r>
      <w:r w:rsidR="00370594" w:rsidRPr="00FB50E8">
        <w:rPr>
          <w:highlight w:val="yellow"/>
        </w:rPr>
        <w:t xml:space="preserve"> </w:t>
      </w:r>
      <w:r w:rsidRPr="00FB50E8">
        <w:rPr>
          <w:highlight w:val="yellow"/>
        </w:rPr>
        <w:t xml:space="preserve">variation </w:t>
      </w:r>
      <w:r w:rsidR="00E01FF9" w:rsidRPr="008D0DF4">
        <w:rPr>
          <w:highlight w:val="yellow"/>
        </w:rPr>
        <w:t>(</w:t>
      </w:r>
      <w:r w:rsidR="00E01FF9" w:rsidRPr="00FB50E8">
        <w:rPr>
          <w:highlight w:val="yellow"/>
        </w:rPr>
        <w:t>Ref </w:t>
      </w:r>
      <w:r w:rsidR="00966F46" w:rsidRPr="00FB50E8">
        <w:rPr>
          <w:highlight w:val="yellow"/>
        </w:rPr>
        <w:t>10</w:t>
      </w:r>
      <w:r w:rsidR="00760F8F" w:rsidRPr="00FB50E8">
        <w:rPr>
          <w:highlight w:val="yellow"/>
        </w:rPr>
        <w:t>, 11</w:t>
      </w:r>
      <w:r w:rsidR="000D3C22" w:rsidRPr="00FB50E8">
        <w:rPr>
          <w:highlight w:val="yellow"/>
        </w:rPr>
        <w:t>)</w:t>
      </w:r>
      <w:r w:rsidR="007600AA" w:rsidRPr="00FB50E8">
        <w:rPr>
          <w:highlight w:val="yellow"/>
        </w:rPr>
        <w:t>.</w:t>
      </w:r>
    </w:p>
    <w:p w:rsidR="001A0D1D" w:rsidRPr="00FB44C4" w:rsidRDefault="001A0D1D" w:rsidP="007A3EE6">
      <w:pPr>
        <w:spacing w:line="480" w:lineRule="auto"/>
        <w:jc w:val="both"/>
      </w:pPr>
    </w:p>
    <w:p w:rsidR="004B1B2E" w:rsidRPr="00FB44C4" w:rsidRDefault="00D5474D" w:rsidP="007A3EE6">
      <w:pPr>
        <w:spacing w:line="480" w:lineRule="auto"/>
        <w:jc w:val="both"/>
        <w:rPr>
          <w:b/>
        </w:rPr>
      </w:pPr>
      <w:r w:rsidRPr="00FB44C4">
        <w:rPr>
          <w:b/>
        </w:rPr>
        <w:t>3.2</w:t>
      </w:r>
      <w:r w:rsidR="004B1B2E" w:rsidRPr="00FB44C4">
        <w:rPr>
          <w:b/>
        </w:rPr>
        <w:t xml:space="preserve">. </w:t>
      </w:r>
      <w:r w:rsidR="00C72B44">
        <w:rPr>
          <w:b/>
        </w:rPr>
        <w:t xml:space="preserve">Interaction with the substrate </w:t>
      </w:r>
      <w:r w:rsidR="00874302">
        <w:rPr>
          <w:b/>
        </w:rPr>
        <w:t>and</w:t>
      </w:r>
      <w:r w:rsidR="006B4C6A" w:rsidRPr="00FB44C4">
        <w:rPr>
          <w:b/>
        </w:rPr>
        <w:t xml:space="preserve"> Microstructure</w:t>
      </w:r>
    </w:p>
    <w:p w:rsidR="002C305F" w:rsidRPr="00FB44C4" w:rsidRDefault="005F19A2" w:rsidP="00B95E70">
      <w:pPr>
        <w:spacing w:line="480" w:lineRule="auto"/>
        <w:ind w:firstLine="708"/>
        <w:jc w:val="both"/>
      </w:pPr>
      <w:r w:rsidRPr="008D0DF4">
        <w:rPr>
          <w:highlight w:val="yellow"/>
        </w:rPr>
        <w:t>X-ray diffraction analysis</w:t>
      </w:r>
      <w:r w:rsidR="00BE693B" w:rsidRPr="008D0DF4">
        <w:rPr>
          <w:highlight w:val="yellow"/>
        </w:rPr>
        <w:t xml:space="preserve"> </w:t>
      </w:r>
      <w:r w:rsidRPr="008D0DF4">
        <w:rPr>
          <w:highlight w:val="yellow"/>
        </w:rPr>
        <w:t xml:space="preserve">showed </w:t>
      </w:r>
      <w:r w:rsidR="007212EC" w:rsidRPr="008D0DF4">
        <w:rPr>
          <w:highlight w:val="yellow"/>
        </w:rPr>
        <w:t>that</w:t>
      </w:r>
      <w:r w:rsidR="00F97FD9" w:rsidRPr="008D0DF4">
        <w:rPr>
          <w:highlight w:val="yellow"/>
        </w:rPr>
        <w:t xml:space="preserve"> </w:t>
      </w:r>
      <w:r w:rsidR="00E13DD9" w:rsidRPr="008D0DF4">
        <w:rPr>
          <w:highlight w:val="yellow"/>
        </w:rPr>
        <w:t xml:space="preserve">Cobalt solid solution (Co SS: FCC), </w:t>
      </w:r>
      <w:proofErr w:type="spellStart"/>
      <w:r w:rsidR="00E13DD9" w:rsidRPr="008D0DF4">
        <w:rPr>
          <w:highlight w:val="yellow"/>
        </w:rPr>
        <w:t>CoMoSi</w:t>
      </w:r>
      <w:proofErr w:type="spellEnd"/>
      <w:r w:rsidR="00E13DD9" w:rsidRPr="008D0DF4">
        <w:rPr>
          <w:highlight w:val="yellow"/>
        </w:rPr>
        <w:t xml:space="preserve"> / Co</w:t>
      </w:r>
      <w:r w:rsidR="00E13DD9" w:rsidRPr="008D0DF4">
        <w:rPr>
          <w:highlight w:val="yellow"/>
          <w:vertAlign w:val="subscript"/>
        </w:rPr>
        <w:t>3</w:t>
      </w:r>
      <w:r w:rsidR="00E13DD9" w:rsidRPr="008D0DF4">
        <w:rPr>
          <w:highlight w:val="yellow"/>
        </w:rPr>
        <w:t>Mo</w:t>
      </w:r>
      <w:r w:rsidR="00E13DD9" w:rsidRPr="008D0DF4">
        <w:rPr>
          <w:highlight w:val="yellow"/>
          <w:vertAlign w:val="subscript"/>
        </w:rPr>
        <w:t>2</w:t>
      </w:r>
      <w:r w:rsidR="00E13DD9" w:rsidRPr="008D0DF4">
        <w:rPr>
          <w:highlight w:val="yellow"/>
        </w:rPr>
        <w:t>Si Laves phase and Co</w:t>
      </w:r>
      <w:r w:rsidR="00E13DD9" w:rsidRPr="008D0DF4">
        <w:rPr>
          <w:highlight w:val="yellow"/>
          <w:vertAlign w:val="subscript"/>
        </w:rPr>
        <w:t>2</w:t>
      </w:r>
      <w:r w:rsidR="00E13DD9" w:rsidRPr="008D0DF4">
        <w:rPr>
          <w:highlight w:val="yellow"/>
        </w:rPr>
        <w:t>Mo</w:t>
      </w:r>
      <w:r w:rsidR="00E13DD9" w:rsidRPr="008D0DF4">
        <w:rPr>
          <w:highlight w:val="yellow"/>
          <w:vertAlign w:val="subscript"/>
        </w:rPr>
        <w:t>3</w:t>
      </w:r>
      <w:r w:rsidR="00E13DD9" w:rsidRPr="008D0DF4">
        <w:rPr>
          <w:highlight w:val="yellow"/>
        </w:rPr>
        <w:t xml:space="preserve"> / Co</w:t>
      </w:r>
      <w:r w:rsidR="00E13DD9" w:rsidRPr="008D0DF4">
        <w:rPr>
          <w:highlight w:val="yellow"/>
          <w:vertAlign w:val="subscript"/>
        </w:rPr>
        <w:t>7</w:t>
      </w:r>
      <w:r w:rsidR="00E13DD9" w:rsidRPr="008D0DF4">
        <w:rPr>
          <w:highlight w:val="yellow"/>
        </w:rPr>
        <w:t>Mo</w:t>
      </w:r>
      <w:r w:rsidR="00E13DD9" w:rsidRPr="008D0DF4">
        <w:rPr>
          <w:highlight w:val="yellow"/>
          <w:vertAlign w:val="subscript"/>
        </w:rPr>
        <w:t>6</w:t>
      </w:r>
      <w:r w:rsidR="00E13DD9" w:rsidRPr="008D0DF4">
        <w:rPr>
          <w:highlight w:val="yellow"/>
        </w:rPr>
        <w:t xml:space="preserve">  (Co-Mo </w:t>
      </w:r>
      <w:proofErr w:type="spellStart"/>
      <w:r w:rsidR="00E13DD9" w:rsidRPr="008D0DF4">
        <w:rPr>
          <w:highlight w:val="yellow"/>
        </w:rPr>
        <w:t>intermetallics</w:t>
      </w:r>
      <w:proofErr w:type="spellEnd"/>
      <w:r w:rsidR="00E13DD9" w:rsidRPr="008D0DF4">
        <w:rPr>
          <w:highlight w:val="yellow"/>
        </w:rPr>
        <w:t xml:space="preserve">) are </w:t>
      </w:r>
      <w:r w:rsidR="00C6421A" w:rsidRPr="008D0DF4">
        <w:rPr>
          <w:highlight w:val="yellow"/>
        </w:rPr>
        <w:t xml:space="preserve">the </w:t>
      </w:r>
      <w:r w:rsidR="00BE693B" w:rsidRPr="008D0DF4">
        <w:rPr>
          <w:highlight w:val="yellow"/>
        </w:rPr>
        <w:t xml:space="preserve">main </w:t>
      </w:r>
      <w:r w:rsidRPr="008D0DF4">
        <w:rPr>
          <w:highlight w:val="yellow"/>
        </w:rPr>
        <w:t>phase</w:t>
      </w:r>
      <w:r w:rsidR="00C6421A" w:rsidRPr="008D0DF4">
        <w:rPr>
          <w:highlight w:val="yellow"/>
        </w:rPr>
        <w:t>s</w:t>
      </w:r>
      <w:r w:rsidRPr="008D0DF4">
        <w:rPr>
          <w:highlight w:val="yellow"/>
        </w:rPr>
        <w:t xml:space="preserve"> </w:t>
      </w:r>
      <w:r w:rsidR="00644C76" w:rsidRPr="008D0DF4">
        <w:rPr>
          <w:highlight w:val="yellow"/>
        </w:rPr>
        <w:t>formed</w:t>
      </w:r>
      <w:r w:rsidR="00F97FD9" w:rsidRPr="008D0DF4">
        <w:rPr>
          <w:highlight w:val="yellow"/>
        </w:rPr>
        <w:t xml:space="preserve"> </w:t>
      </w:r>
      <w:r w:rsidR="008D0DF4" w:rsidRPr="008D0DF4">
        <w:rPr>
          <w:highlight w:val="yellow"/>
        </w:rPr>
        <w:t>f</w:t>
      </w:r>
      <w:r w:rsidR="00F97FD9" w:rsidRPr="008D0DF4">
        <w:rPr>
          <w:highlight w:val="yellow"/>
        </w:rPr>
        <w:t>or each</w:t>
      </w:r>
      <w:r w:rsidR="00C6421A" w:rsidRPr="008D0DF4">
        <w:rPr>
          <w:highlight w:val="yellow"/>
        </w:rPr>
        <w:t xml:space="preserve"> deposition</w:t>
      </w:r>
      <w:r w:rsidR="00F97FD9" w:rsidRPr="008D0DF4">
        <w:rPr>
          <w:highlight w:val="yellow"/>
        </w:rPr>
        <w:t xml:space="preserve"> curre</w:t>
      </w:r>
      <w:r w:rsidR="00B5714D" w:rsidRPr="008D0DF4">
        <w:rPr>
          <w:highlight w:val="yellow"/>
        </w:rPr>
        <w:t>nt</w:t>
      </w:r>
      <w:r w:rsidR="00E05840" w:rsidRPr="008D0DF4">
        <w:rPr>
          <w:highlight w:val="yellow"/>
        </w:rPr>
        <w:t>.</w:t>
      </w:r>
      <w:r w:rsidR="008C6E8D" w:rsidRPr="008D0DF4">
        <w:rPr>
          <w:highlight w:val="yellow"/>
        </w:rPr>
        <w:t xml:space="preserve"> </w:t>
      </w:r>
      <w:r w:rsidR="00E05840" w:rsidRPr="008D0DF4">
        <w:rPr>
          <w:highlight w:val="yellow"/>
        </w:rPr>
        <w:t>It</w:t>
      </w:r>
      <w:r w:rsidR="00C057BD" w:rsidRPr="008D0DF4">
        <w:rPr>
          <w:highlight w:val="yellow"/>
        </w:rPr>
        <w:t xml:space="preserve"> might </w:t>
      </w:r>
      <w:r w:rsidR="00AC1704" w:rsidRPr="008D0DF4">
        <w:rPr>
          <w:highlight w:val="yellow"/>
        </w:rPr>
        <w:t>suggest</w:t>
      </w:r>
      <w:r w:rsidRPr="008D0DF4">
        <w:rPr>
          <w:highlight w:val="yellow"/>
        </w:rPr>
        <w:t xml:space="preserve"> </w:t>
      </w:r>
      <w:r w:rsidR="00E05840" w:rsidRPr="008D0DF4">
        <w:rPr>
          <w:highlight w:val="yellow"/>
        </w:rPr>
        <w:t>that</w:t>
      </w:r>
      <w:r w:rsidR="00C057BD" w:rsidRPr="008D0DF4">
        <w:rPr>
          <w:highlight w:val="yellow"/>
        </w:rPr>
        <w:t xml:space="preserve"> </w:t>
      </w:r>
      <w:r w:rsidR="00E13DD9" w:rsidRPr="008D0DF4">
        <w:rPr>
          <w:highlight w:val="yellow"/>
        </w:rPr>
        <w:t xml:space="preserve">Iron, Chromium and Nickel contents variation due to </w:t>
      </w:r>
      <w:r w:rsidR="00AC1704" w:rsidRPr="008D0DF4">
        <w:rPr>
          <w:highlight w:val="yellow"/>
        </w:rPr>
        <w:t xml:space="preserve">dilution </w:t>
      </w:r>
      <w:r w:rsidRPr="008D0DF4">
        <w:rPr>
          <w:highlight w:val="yellow"/>
        </w:rPr>
        <w:t xml:space="preserve">did not </w:t>
      </w:r>
      <w:r w:rsidR="00070B5E" w:rsidRPr="008D0DF4">
        <w:rPr>
          <w:highlight w:val="yellow"/>
        </w:rPr>
        <w:t>alter</w:t>
      </w:r>
      <w:r w:rsidR="00644C76" w:rsidRPr="008D0DF4">
        <w:rPr>
          <w:highlight w:val="yellow"/>
        </w:rPr>
        <w:t xml:space="preserve"> the </w:t>
      </w:r>
      <w:r w:rsidR="00E13DD9" w:rsidRPr="008D0DF4">
        <w:rPr>
          <w:highlight w:val="yellow"/>
        </w:rPr>
        <w:t xml:space="preserve">developed </w:t>
      </w:r>
      <w:r w:rsidR="00070B5E" w:rsidRPr="008D0DF4">
        <w:rPr>
          <w:highlight w:val="yellow"/>
        </w:rPr>
        <w:t>phase</w:t>
      </w:r>
      <w:r w:rsidR="00BF3A7B" w:rsidRPr="008D0DF4">
        <w:rPr>
          <w:highlight w:val="yellow"/>
        </w:rPr>
        <w:t>,</w:t>
      </w:r>
      <w:r w:rsidR="00070B5E" w:rsidRPr="008D0DF4">
        <w:rPr>
          <w:highlight w:val="yellow"/>
        </w:rPr>
        <w:t xml:space="preserve"> but just the</w:t>
      </w:r>
      <w:r w:rsidR="00E13DD9" w:rsidRPr="008D0DF4">
        <w:rPr>
          <w:highlight w:val="yellow"/>
        </w:rPr>
        <w:t>ir</w:t>
      </w:r>
      <w:r w:rsidR="00070B5E" w:rsidRPr="008D0DF4">
        <w:rPr>
          <w:highlight w:val="yellow"/>
        </w:rPr>
        <w:t xml:space="preserve"> proportion</w:t>
      </w:r>
      <w:r w:rsidR="00BF3A7B" w:rsidRPr="008D0DF4">
        <w:rPr>
          <w:highlight w:val="yellow"/>
        </w:rPr>
        <w:t>,</w:t>
      </w:r>
      <w:r w:rsidR="00B52694" w:rsidRPr="008D0DF4">
        <w:rPr>
          <w:highlight w:val="yellow"/>
        </w:rPr>
        <w:t xml:space="preserve"> </w:t>
      </w:r>
      <w:r w:rsidR="00BF3A7B" w:rsidRPr="008D0DF4">
        <w:rPr>
          <w:highlight w:val="yellow"/>
        </w:rPr>
        <w:t xml:space="preserve">following the same </w:t>
      </w:r>
      <w:r w:rsidR="00614225" w:rsidRPr="008D0DF4">
        <w:rPr>
          <w:highlight w:val="yellow"/>
        </w:rPr>
        <w:t xml:space="preserve">trend </w:t>
      </w:r>
      <w:r w:rsidR="00070B5E" w:rsidRPr="008D0DF4">
        <w:rPr>
          <w:highlight w:val="yellow"/>
        </w:rPr>
        <w:t xml:space="preserve">as </w:t>
      </w:r>
      <w:r w:rsidR="00BF3A7B" w:rsidRPr="008D0DF4">
        <w:rPr>
          <w:highlight w:val="yellow"/>
        </w:rPr>
        <w:t>observed</w:t>
      </w:r>
      <w:r w:rsidR="00E13DD9" w:rsidRPr="008D0DF4">
        <w:rPr>
          <w:highlight w:val="yellow"/>
        </w:rPr>
        <w:t xml:space="preserve"> recently</w:t>
      </w:r>
      <w:r w:rsidR="00BF3A7B" w:rsidRPr="008D0DF4">
        <w:rPr>
          <w:highlight w:val="yellow"/>
        </w:rPr>
        <w:t xml:space="preserve"> </w:t>
      </w:r>
      <w:r w:rsidR="008D0DF4" w:rsidRPr="008D0DF4">
        <w:rPr>
          <w:highlight w:val="yellow"/>
        </w:rPr>
        <w:t>on</w:t>
      </w:r>
      <w:r w:rsidR="00E13DD9" w:rsidRPr="008D0DF4">
        <w:rPr>
          <w:highlight w:val="yellow"/>
        </w:rPr>
        <w:t xml:space="preserve"> </w:t>
      </w:r>
      <w:r w:rsidR="00BF3A7B" w:rsidRPr="008D0DF4">
        <w:rPr>
          <w:highlight w:val="yellow"/>
        </w:rPr>
        <w:t xml:space="preserve">cast </w:t>
      </w:r>
      <w:r w:rsidR="00070B5E" w:rsidRPr="008D0DF4">
        <w:rPr>
          <w:highlight w:val="yellow"/>
        </w:rPr>
        <w:t>alloy</w:t>
      </w:r>
      <w:r w:rsidR="00BE693B" w:rsidRPr="008D0DF4">
        <w:rPr>
          <w:highlight w:val="yellow"/>
        </w:rPr>
        <w:t>, Fig</w:t>
      </w:r>
      <w:r w:rsidR="001074F7" w:rsidRPr="008D0DF4">
        <w:rPr>
          <w:highlight w:val="yellow"/>
        </w:rPr>
        <w:t xml:space="preserve">. </w:t>
      </w:r>
      <w:r w:rsidR="00BE693B" w:rsidRPr="008D0DF4">
        <w:rPr>
          <w:highlight w:val="yellow"/>
        </w:rPr>
        <w:t>2</w:t>
      </w:r>
      <w:r w:rsidR="00B52694" w:rsidRPr="008D0DF4">
        <w:rPr>
          <w:highlight w:val="yellow"/>
        </w:rPr>
        <w:t xml:space="preserve"> </w:t>
      </w:r>
      <w:r w:rsidR="00484803" w:rsidRPr="008D0DF4">
        <w:rPr>
          <w:highlight w:val="yellow"/>
        </w:rPr>
        <w:t xml:space="preserve">(Ref </w:t>
      </w:r>
      <w:r w:rsidR="00AD2C7E" w:rsidRPr="008D0DF4">
        <w:rPr>
          <w:highlight w:val="yellow"/>
        </w:rPr>
        <w:t>5,</w:t>
      </w:r>
      <w:r w:rsidR="007212EC" w:rsidRPr="008D0DF4">
        <w:rPr>
          <w:highlight w:val="yellow"/>
        </w:rPr>
        <w:t xml:space="preserve"> 8,</w:t>
      </w:r>
      <w:r w:rsidR="00AD2C7E" w:rsidRPr="008D0DF4">
        <w:rPr>
          <w:highlight w:val="yellow"/>
        </w:rPr>
        <w:t xml:space="preserve"> </w:t>
      </w:r>
      <w:r w:rsidR="002B5024" w:rsidRPr="008D0DF4">
        <w:rPr>
          <w:highlight w:val="yellow"/>
        </w:rPr>
        <w:t>12</w:t>
      </w:r>
      <w:r w:rsidR="00484803" w:rsidRPr="008D0DF4">
        <w:rPr>
          <w:highlight w:val="yellow"/>
        </w:rPr>
        <w:t>)</w:t>
      </w:r>
      <w:r w:rsidR="00F97FD9" w:rsidRPr="008D0DF4">
        <w:rPr>
          <w:highlight w:val="yellow"/>
        </w:rPr>
        <w:t>.</w:t>
      </w:r>
    </w:p>
    <w:p w:rsidR="00813B6D" w:rsidRDefault="00DE75CD" w:rsidP="00B95E70">
      <w:pPr>
        <w:spacing w:line="480" w:lineRule="auto"/>
        <w:ind w:firstLine="708"/>
        <w:jc w:val="both"/>
      </w:pPr>
      <w:r>
        <w:t xml:space="preserve">The dilution displaced the chemical composition of coatings and </w:t>
      </w:r>
      <w:r w:rsidR="00E1267A" w:rsidRPr="00FB44C4">
        <w:t xml:space="preserve">changed </w:t>
      </w:r>
      <w:r w:rsidR="003C0E67">
        <w:t xml:space="preserve">the </w:t>
      </w:r>
      <w:r w:rsidR="00A70B9E">
        <w:t>hypereutectic composed by primary Laves phase and eutectic lamellar (Co</w:t>
      </w:r>
      <w:r w:rsidR="00B7422B">
        <w:t> </w:t>
      </w:r>
      <w:r w:rsidR="00A70B9E">
        <w:t xml:space="preserve">SS + Laves phase) </w:t>
      </w:r>
      <w:r w:rsidR="00DC2EB6">
        <w:t>microstructure</w:t>
      </w:r>
      <w:r w:rsidR="008D0DF4">
        <w:t xml:space="preserve"> reported</w:t>
      </w:r>
      <w:r w:rsidR="00521B7E">
        <w:t xml:space="preserve"> </w:t>
      </w:r>
      <w:proofErr w:type="spellStart"/>
      <w:r w:rsidR="00521B7E" w:rsidRPr="008D0DF4">
        <w:rPr>
          <w:highlight w:val="yellow"/>
        </w:rPr>
        <w:t>for</w:t>
      </w:r>
      <w:proofErr w:type="spellEnd"/>
      <w:r w:rsidR="008D09FD">
        <w:t xml:space="preserve"> cast</w:t>
      </w:r>
      <w:r w:rsidR="00DC2EB6">
        <w:t xml:space="preserve"> </w:t>
      </w:r>
      <w:proofErr w:type="spellStart"/>
      <w:r w:rsidR="00DC2EB6">
        <w:t>CoCrMoSi</w:t>
      </w:r>
      <w:proofErr w:type="spellEnd"/>
      <w:r w:rsidR="00DC2EB6">
        <w:t xml:space="preserve"> T400 alloy</w:t>
      </w:r>
      <w:r>
        <w:t xml:space="preserve"> to eutectic and hypoeutectic composition</w:t>
      </w:r>
      <w:r w:rsidRPr="00030287">
        <w:rPr>
          <w:highlight w:val="yellow"/>
        </w:rPr>
        <w:t xml:space="preserve">, </w:t>
      </w:r>
      <w:r w:rsidR="00521B7E" w:rsidRPr="00030287">
        <w:rPr>
          <w:highlight w:val="yellow"/>
        </w:rPr>
        <w:t>for 150 and 180A, respectively,</w:t>
      </w:r>
      <w:r w:rsidR="00521B7E">
        <w:t xml:space="preserve"> </w:t>
      </w:r>
      <w:r w:rsidR="00673F4F" w:rsidRPr="00FB44C4">
        <w:t>F</w:t>
      </w:r>
      <w:r w:rsidR="00C70C59" w:rsidRPr="00FB44C4">
        <w:t>ig</w:t>
      </w:r>
      <w:r w:rsidR="001074F7">
        <w:t xml:space="preserve">. </w:t>
      </w:r>
      <w:r w:rsidR="00C70C59" w:rsidRPr="00FB44C4">
        <w:t>3</w:t>
      </w:r>
      <w:r w:rsidR="00673F4F" w:rsidRPr="00FB44C4">
        <w:t xml:space="preserve">, </w:t>
      </w:r>
      <w:r w:rsidR="00E1267A" w:rsidRPr="00FB44C4">
        <w:t>Fig</w:t>
      </w:r>
      <w:r w:rsidR="001074F7">
        <w:t>.</w:t>
      </w:r>
      <w:r w:rsidR="00E1267A" w:rsidRPr="00FB44C4">
        <w:t xml:space="preserve"> 4</w:t>
      </w:r>
      <w:r w:rsidR="00673F4F" w:rsidRPr="00FB44C4">
        <w:t xml:space="preserve"> and Fig</w:t>
      </w:r>
      <w:r w:rsidR="001074F7">
        <w:t>.</w:t>
      </w:r>
      <w:r w:rsidR="00673F4F" w:rsidRPr="00FB44C4">
        <w:t xml:space="preserve"> 5</w:t>
      </w:r>
      <w:r w:rsidR="00AA69BE">
        <w:t xml:space="preserve"> </w:t>
      </w:r>
      <w:r w:rsidR="008440C3">
        <w:t xml:space="preserve">(Ref </w:t>
      </w:r>
      <w:r>
        <w:t xml:space="preserve">8, </w:t>
      </w:r>
      <w:r w:rsidR="00702CB9">
        <w:t>9</w:t>
      </w:r>
      <w:r w:rsidR="008440C3">
        <w:t>)</w:t>
      </w:r>
      <w:r w:rsidR="00A70B9E">
        <w:t xml:space="preserve">. </w:t>
      </w:r>
      <w:r w:rsidR="00521B7E" w:rsidRPr="00030287">
        <w:rPr>
          <w:highlight w:val="yellow"/>
        </w:rPr>
        <w:t>For 18 % dilution, an e</w:t>
      </w:r>
      <w:r w:rsidR="00C70C59" w:rsidRPr="00030287">
        <w:rPr>
          <w:highlight w:val="yellow"/>
        </w:rPr>
        <w:t xml:space="preserve">utectic lamellar </w:t>
      </w:r>
      <w:r w:rsidR="00E05840" w:rsidRPr="00030287">
        <w:rPr>
          <w:highlight w:val="yellow"/>
        </w:rPr>
        <w:t>microstructure</w:t>
      </w:r>
      <w:r w:rsidR="0042773B" w:rsidRPr="00030287">
        <w:rPr>
          <w:highlight w:val="yellow"/>
        </w:rPr>
        <w:t xml:space="preserve"> composed by </w:t>
      </w:r>
      <w:r w:rsidRPr="00030287">
        <w:rPr>
          <w:highlight w:val="yellow"/>
        </w:rPr>
        <w:t>Laves phase and Cobalt solid solution</w:t>
      </w:r>
      <w:r w:rsidR="0042773B" w:rsidRPr="00030287">
        <w:rPr>
          <w:highlight w:val="yellow"/>
        </w:rPr>
        <w:t xml:space="preserve"> was </w:t>
      </w:r>
      <w:r w:rsidR="00030287" w:rsidRPr="00030287">
        <w:rPr>
          <w:highlight w:val="yellow"/>
        </w:rPr>
        <w:t>observed</w:t>
      </w:r>
      <w:r w:rsidR="00C70C59" w:rsidRPr="00030287">
        <w:rPr>
          <w:highlight w:val="yellow"/>
        </w:rPr>
        <w:t>.</w:t>
      </w:r>
      <w:r w:rsidR="00813B6D" w:rsidRPr="00030287">
        <w:rPr>
          <w:highlight w:val="yellow"/>
        </w:rPr>
        <w:t xml:space="preserve"> </w:t>
      </w:r>
      <w:r w:rsidR="0042773B" w:rsidRPr="00030287">
        <w:rPr>
          <w:highlight w:val="yellow"/>
        </w:rPr>
        <w:t xml:space="preserve">The chemical composition was altered as </w:t>
      </w:r>
      <w:r w:rsidR="00C72E85" w:rsidRPr="00030287">
        <w:rPr>
          <w:highlight w:val="yellow"/>
        </w:rPr>
        <w:t>a consequence of higher Ir</w:t>
      </w:r>
      <w:r w:rsidRPr="00030287">
        <w:rPr>
          <w:highlight w:val="yellow"/>
        </w:rPr>
        <w:t>on</w:t>
      </w:r>
      <w:r w:rsidR="000D0207" w:rsidRPr="00030287">
        <w:rPr>
          <w:highlight w:val="yellow"/>
        </w:rPr>
        <w:t xml:space="preserve">, </w:t>
      </w:r>
      <w:r w:rsidRPr="00030287">
        <w:rPr>
          <w:highlight w:val="yellow"/>
        </w:rPr>
        <w:t xml:space="preserve">Chromium </w:t>
      </w:r>
      <w:r w:rsidR="000D0207" w:rsidRPr="00030287">
        <w:rPr>
          <w:highlight w:val="yellow"/>
        </w:rPr>
        <w:t xml:space="preserve">and Nickel </w:t>
      </w:r>
      <w:r w:rsidRPr="00030287">
        <w:rPr>
          <w:highlight w:val="yellow"/>
        </w:rPr>
        <w:t xml:space="preserve">content </w:t>
      </w:r>
      <w:r w:rsidR="0042773B" w:rsidRPr="00030287">
        <w:rPr>
          <w:highlight w:val="yellow"/>
        </w:rPr>
        <w:t>on coatings</w:t>
      </w:r>
      <w:r w:rsidR="00C72E85" w:rsidRPr="00030287">
        <w:rPr>
          <w:highlight w:val="yellow"/>
        </w:rPr>
        <w:t>.</w:t>
      </w:r>
    </w:p>
    <w:p w:rsidR="00F53289" w:rsidRPr="001238B7" w:rsidRDefault="00F53289" w:rsidP="009E0B8F">
      <w:pPr>
        <w:spacing w:line="480" w:lineRule="auto"/>
        <w:ind w:firstLine="708"/>
        <w:jc w:val="both"/>
        <w:rPr>
          <w:highlight w:val="yellow"/>
        </w:rPr>
      </w:pPr>
      <w:r w:rsidRPr="001238B7">
        <w:rPr>
          <w:highlight w:val="yellow"/>
        </w:rPr>
        <w:t xml:space="preserve">A new cast alloy named T401 was developed based on T400, to improve </w:t>
      </w:r>
      <w:r w:rsidR="008A3C2F" w:rsidRPr="001238B7">
        <w:rPr>
          <w:highlight w:val="yellow"/>
        </w:rPr>
        <w:t>e</w:t>
      </w:r>
      <w:r w:rsidRPr="001238B7">
        <w:rPr>
          <w:highlight w:val="yellow"/>
        </w:rPr>
        <w:t>special</w:t>
      </w:r>
      <w:r w:rsidR="008A3C2F" w:rsidRPr="001238B7">
        <w:rPr>
          <w:highlight w:val="yellow"/>
        </w:rPr>
        <w:t>l</w:t>
      </w:r>
      <w:r w:rsidRPr="001238B7">
        <w:rPr>
          <w:highlight w:val="yellow"/>
        </w:rPr>
        <w:t>y toughness. Chemical composition was</w:t>
      </w:r>
      <w:r w:rsidR="001238B7" w:rsidRPr="001238B7">
        <w:rPr>
          <w:highlight w:val="yellow"/>
        </w:rPr>
        <w:t xml:space="preserve"> </w:t>
      </w:r>
      <w:r w:rsidRPr="001238B7">
        <w:rPr>
          <w:highlight w:val="yellow"/>
        </w:rPr>
        <w:t xml:space="preserve">altered by reducing Silicon </w:t>
      </w:r>
      <w:r w:rsidR="009E0B8F" w:rsidRPr="001238B7">
        <w:rPr>
          <w:highlight w:val="yellow"/>
        </w:rPr>
        <w:t xml:space="preserve">to the half, Molybdenum to 22.8 wt % and Chromium was doubled, changing the composition to </w:t>
      </w:r>
      <w:r w:rsidR="00521B7E" w:rsidRPr="001238B7">
        <w:rPr>
          <w:highlight w:val="yellow"/>
        </w:rPr>
        <w:t xml:space="preserve">a </w:t>
      </w:r>
      <w:r w:rsidR="009E0B8F" w:rsidRPr="001238B7">
        <w:rPr>
          <w:highlight w:val="yellow"/>
        </w:rPr>
        <w:t xml:space="preserve">hypoeutectic. </w:t>
      </w:r>
      <w:r w:rsidR="009E0B8F" w:rsidRPr="001238B7">
        <w:rPr>
          <w:highlight w:val="yellow"/>
        </w:rPr>
        <w:lastRenderedPageBreak/>
        <w:t>Chromium is mostly in Cobalt solid solution while Silicon</w:t>
      </w:r>
      <w:r w:rsidR="001238B7" w:rsidRPr="001238B7">
        <w:rPr>
          <w:highlight w:val="yellow"/>
        </w:rPr>
        <w:t xml:space="preserve"> is concentrated in Laves phase. </w:t>
      </w:r>
      <w:r w:rsidR="009E0B8F" w:rsidRPr="001238B7">
        <w:rPr>
          <w:highlight w:val="yellow"/>
        </w:rPr>
        <w:t xml:space="preserve">Molybdenum can be in both Cobalt solid solution and Laves phase (Ref 8). So, the interaction with the AISI 316L steel substrate on microstructure of T400 alloy and its consequence on hardness and wear behavior of </w:t>
      </w:r>
      <w:r w:rsidR="003048D4" w:rsidRPr="001238B7">
        <w:rPr>
          <w:highlight w:val="yellow"/>
        </w:rPr>
        <w:t xml:space="preserve">the </w:t>
      </w:r>
      <w:r w:rsidR="009E0B8F" w:rsidRPr="001238B7">
        <w:rPr>
          <w:highlight w:val="yellow"/>
        </w:rPr>
        <w:t>coatings was in</w:t>
      </w:r>
      <w:r w:rsidR="00B4492D" w:rsidRPr="001238B7">
        <w:rPr>
          <w:highlight w:val="yellow"/>
        </w:rPr>
        <w:t xml:space="preserve">vestigated. </w:t>
      </w:r>
    </w:p>
    <w:p w:rsidR="009E0B8F" w:rsidRDefault="00B4492D" w:rsidP="009E0B8F">
      <w:pPr>
        <w:spacing w:line="480" w:lineRule="auto"/>
        <w:ind w:firstLine="708"/>
        <w:jc w:val="both"/>
      </w:pPr>
      <w:r w:rsidRPr="0023793A">
        <w:rPr>
          <w:highlight w:val="yellow"/>
        </w:rPr>
        <w:t>The main elements of</w:t>
      </w:r>
      <w:r w:rsidR="009E0B8F" w:rsidRPr="0023793A">
        <w:rPr>
          <w:highlight w:val="yellow"/>
        </w:rPr>
        <w:t xml:space="preserve"> AISI 316L steel substrate ar</w:t>
      </w:r>
      <w:r w:rsidR="0023793A" w:rsidRPr="0023793A">
        <w:rPr>
          <w:highlight w:val="yellow"/>
        </w:rPr>
        <w:t>e Iron, Chromium and Nickel and, therefore</w:t>
      </w:r>
      <w:r w:rsidR="00521B7E" w:rsidRPr="0023793A">
        <w:rPr>
          <w:highlight w:val="yellow"/>
        </w:rPr>
        <w:t xml:space="preserve">, it is expected that the presence of these elements on coatings due to </w:t>
      </w:r>
      <w:r w:rsidR="009E0B8F" w:rsidRPr="0023793A">
        <w:rPr>
          <w:highlight w:val="yellow"/>
        </w:rPr>
        <w:t xml:space="preserve">dilution alter the proportion of Cobalt solid solution phase on coatings microstructure. The interaction with the substrate was directly </w:t>
      </w:r>
      <w:r w:rsidR="00521B7E" w:rsidRPr="0023793A">
        <w:rPr>
          <w:highlight w:val="yellow"/>
        </w:rPr>
        <w:t xml:space="preserve">related to </w:t>
      </w:r>
      <w:r w:rsidR="009E0B8F" w:rsidRPr="0023793A">
        <w:rPr>
          <w:highlight w:val="yellow"/>
        </w:rPr>
        <w:t>dilution, as previous</w:t>
      </w:r>
      <w:r w:rsidR="00735B56" w:rsidRPr="0023793A">
        <w:rPr>
          <w:highlight w:val="yellow"/>
        </w:rPr>
        <w:t>ly</w:t>
      </w:r>
      <w:r w:rsidR="009E0B8F" w:rsidRPr="0023793A">
        <w:rPr>
          <w:highlight w:val="yellow"/>
        </w:rPr>
        <w:t xml:space="preserve"> reported by </w:t>
      </w:r>
      <w:r w:rsidR="00735B56" w:rsidRPr="0023793A">
        <w:rPr>
          <w:highlight w:val="yellow"/>
        </w:rPr>
        <w:t xml:space="preserve">the </w:t>
      </w:r>
      <w:r w:rsidR="009E0B8F" w:rsidRPr="0023793A">
        <w:rPr>
          <w:highlight w:val="yellow"/>
        </w:rPr>
        <w:t>literature (Ref 11).</w:t>
      </w:r>
    </w:p>
    <w:p w:rsidR="00A83E33" w:rsidRPr="00FB44C4" w:rsidRDefault="007B3CF4" w:rsidP="00C941D1">
      <w:pPr>
        <w:spacing w:line="480" w:lineRule="auto"/>
        <w:ind w:firstLine="708"/>
        <w:jc w:val="both"/>
      </w:pPr>
      <w:r w:rsidRPr="00056328">
        <w:rPr>
          <w:highlight w:val="yellow"/>
        </w:rPr>
        <w:t>T</w:t>
      </w:r>
      <w:r w:rsidR="00930E0F" w:rsidRPr="00056328">
        <w:rPr>
          <w:highlight w:val="yellow"/>
        </w:rPr>
        <w:t xml:space="preserve">he </w:t>
      </w:r>
      <w:r w:rsidRPr="00056328">
        <w:rPr>
          <w:highlight w:val="yellow"/>
        </w:rPr>
        <w:t xml:space="preserve">chemical </w:t>
      </w:r>
      <w:r w:rsidR="00A12D40" w:rsidRPr="00056328">
        <w:rPr>
          <w:highlight w:val="yellow"/>
        </w:rPr>
        <w:t xml:space="preserve">composition of </w:t>
      </w:r>
      <w:r w:rsidRPr="00056328">
        <w:rPr>
          <w:highlight w:val="yellow"/>
        </w:rPr>
        <w:t xml:space="preserve">the T400 alloy </w:t>
      </w:r>
      <w:r w:rsidR="005730DF" w:rsidRPr="00056328">
        <w:rPr>
          <w:highlight w:val="yellow"/>
        </w:rPr>
        <w:t>coating</w:t>
      </w:r>
      <w:r w:rsidR="00252AFC" w:rsidRPr="00056328">
        <w:rPr>
          <w:highlight w:val="yellow"/>
        </w:rPr>
        <w:t>s</w:t>
      </w:r>
      <w:r w:rsidR="00930E0F" w:rsidRPr="00056328">
        <w:rPr>
          <w:highlight w:val="yellow"/>
        </w:rPr>
        <w:t xml:space="preserve"> </w:t>
      </w:r>
      <w:r w:rsidRPr="00056328">
        <w:rPr>
          <w:highlight w:val="yellow"/>
        </w:rPr>
        <w:t xml:space="preserve">was displaced </w:t>
      </w:r>
      <w:r w:rsidR="00930E0F" w:rsidRPr="00056328">
        <w:rPr>
          <w:highlight w:val="yellow"/>
        </w:rPr>
        <w:t xml:space="preserve">to </w:t>
      </w:r>
      <w:r w:rsidR="00C941D1" w:rsidRPr="00056328">
        <w:rPr>
          <w:highlight w:val="yellow"/>
        </w:rPr>
        <w:t>hypoeutectic</w:t>
      </w:r>
      <w:r w:rsidRPr="00056328">
        <w:rPr>
          <w:highlight w:val="yellow"/>
        </w:rPr>
        <w:t xml:space="preserve"> for 26 and 38 % dilution</w:t>
      </w:r>
      <w:r w:rsidR="00C941D1" w:rsidRPr="00056328">
        <w:rPr>
          <w:highlight w:val="yellow"/>
        </w:rPr>
        <w:t>.</w:t>
      </w:r>
      <w:r w:rsidR="00C941D1">
        <w:t xml:space="preserve"> </w:t>
      </w:r>
      <w:r w:rsidR="00C941D1" w:rsidRPr="0023793A">
        <w:rPr>
          <w:highlight w:val="yellow"/>
        </w:rPr>
        <w:t xml:space="preserve">It </w:t>
      </w:r>
      <w:r w:rsidR="00056328" w:rsidRPr="0023793A">
        <w:rPr>
          <w:highlight w:val="yellow"/>
        </w:rPr>
        <w:t xml:space="preserve">induced to </w:t>
      </w:r>
      <w:r w:rsidR="00521B7E" w:rsidRPr="0023793A">
        <w:rPr>
          <w:highlight w:val="yellow"/>
        </w:rPr>
        <w:t xml:space="preserve">a microstructure of </w:t>
      </w:r>
      <w:r w:rsidR="00042F18" w:rsidRPr="0023793A">
        <w:rPr>
          <w:highlight w:val="yellow"/>
        </w:rPr>
        <w:t xml:space="preserve">Cobalt </w:t>
      </w:r>
      <w:r w:rsidR="00522C83" w:rsidRPr="0023793A">
        <w:rPr>
          <w:highlight w:val="yellow"/>
        </w:rPr>
        <w:t xml:space="preserve">solid solution </w:t>
      </w:r>
      <w:r w:rsidR="00A32A06" w:rsidRPr="0023793A">
        <w:rPr>
          <w:highlight w:val="yellow"/>
        </w:rPr>
        <w:t xml:space="preserve">dendrites </w:t>
      </w:r>
      <w:r w:rsidR="00C70C59" w:rsidRPr="0023793A">
        <w:rPr>
          <w:highlight w:val="yellow"/>
        </w:rPr>
        <w:t xml:space="preserve">and </w:t>
      </w:r>
      <w:proofErr w:type="spellStart"/>
      <w:r w:rsidR="00C70C59" w:rsidRPr="0023793A">
        <w:rPr>
          <w:highlight w:val="yellow"/>
        </w:rPr>
        <w:t>interdendrictic</w:t>
      </w:r>
      <w:proofErr w:type="spellEnd"/>
      <w:r w:rsidR="005D79AC" w:rsidRPr="0023793A">
        <w:rPr>
          <w:highlight w:val="yellow"/>
        </w:rPr>
        <w:t xml:space="preserve"> </w:t>
      </w:r>
      <w:r w:rsidR="00120ADA" w:rsidRPr="0023793A">
        <w:rPr>
          <w:highlight w:val="yellow"/>
        </w:rPr>
        <w:t>eutectic lamellar</w:t>
      </w:r>
      <w:r w:rsidR="005D79AC" w:rsidRPr="0023793A">
        <w:rPr>
          <w:highlight w:val="yellow"/>
        </w:rPr>
        <w:t xml:space="preserve"> </w:t>
      </w:r>
      <w:r w:rsidR="00056328" w:rsidRPr="0023793A">
        <w:rPr>
          <w:highlight w:val="yellow"/>
        </w:rPr>
        <w:t>region</w:t>
      </w:r>
      <w:r w:rsidR="00C70C59" w:rsidRPr="0023793A">
        <w:rPr>
          <w:highlight w:val="yellow"/>
        </w:rPr>
        <w:t>.</w:t>
      </w:r>
      <w:r w:rsidR="00C70C59" w:rsidRPr="00FB44C4">
        <w:t xml:space="preserve"> </w:t>
      </w:r>
      <w:r w:rsidR="00ED70B8">
        <w:t xml:space="preserve">The chemical composition </w:t>
      </w:r>
      <w:r w:rsidR="00F51AC7">
        <w:t>of coatings with highest</w:t>
      </w:r>
      <w:r w:rsidR="00ED70B8">
        <w:t xml:space="preserve"> </w:t>
      </w:r>
      <w:r w:rsidR="00DF2447">
        <w:t xml:space="preserve">interaction </w:t>
      </w:r>
      <w:r w:rsidR="003D642B" w:rsidRPr="00042F18">
        <w:t>with</w:t>
      </w:r>
      <w:r w:rsidR="00ED70B8">
        <w:t xml:space="preserve"> the substrate </w:t>
      </w:r>
      <w:r w:rsidR="0022199B" w:rsidRPr="0023793A">
        <w:rPr>
          <w:highlight w:val="yellow"/>
        </w:rPr>
        <w:t>showed</w:t>
      </w:r>
      <w:r w:rsidR="00166B2B">
        <w:t xml:space="preserve"> similar solidification mic</w:t>
      </w:r>
      <w:r w:rsidR="00A22682">
        <w:t xml:space="preserve">rostructure </w:t>
      </w:r>
      <w:r w:rsidR="0022199B" w:rsidRPr="0023793A">
        <w:rPr>
          <w:highlight w:val="yellow"/>
        </w:rPr>
        <w:t>to</w:t>
      </w:r>
      <w:r w:rsidR="00A22682">
        <w:t xml:space="preserve"> the newly developed cast </w:t>
      </w:r>
      <w:r w:rsidR="00ED70B8">
        <w:t>T401 alloy</w:t>
      </w:r>
      <w:r w:rsidR="000D0207">
        <w:t xml:space="preserve">, confirming the distribution of elements from substrate </w:t>
      </w:r>
      <w:r w:rsidR="00766C8C">
        <w:t xml:space="preserve">(Fe, Cr and Ni) </w:t>
      </w:r>
      <w:r w:rsidR="000D0207">
        <w:t xml:space="preserve">mostly </w:t>
      </w:r>
      <w:r w:rsidR="0022199B" w:rsidRPr="0023793A">
        <w:rPr>
          <w:highlight w:val="yellow"/>
        </w:rPr>
        <w:t>as</w:t>
      </w:r>
      <w:r w:rsidR="000D0207">
        <w:t xml:space="preserve"> Cobalt solid solution</w:t>
      </w:r>
      <w:r w:rsidR="00ED70B8">
        <w:t xml:space="preserve"> </w:t>
      </w:r>
      <w:r w:rsidR="00042F18">
        <w:t xml:space="preserve">(Ref </w:t>
      </w:r>
      <w:r w:rsidR="00ED70B8">
        <w:t>8</w:t>
      </w:r>
      <w:r w:rsidR="00042F18">
        <w:t>)</w:t>
      </w:r>
      <w:r w:rsidR="00316EC0">
        <w:t>.</w:t>
      </w:r>
    </w:p>
    <w:p w:rsidR="00E1267A" w:rsidRDefault="00022094" w:rsidP="00DF2069">
      <w:pPr>
        <w:spacing w:line="480" w:lineRule="auto"/>
        <w:ind w:firstLine="708"/>
        <w:jc w:val="both"/>
      </w:pPr>
      <w:r>
        <w:t>Once Iron,</w:t>
      </w:r>
      <w:r w:rsidR="003A6DEC">
        <w:t xml:space="preserve"> Chromium</w:t>
      </w:r>
      <w:r>
        <w:t xml:space="preserve"> and Nickel </w:t>
      </w:r>
      <w:r w:rsidR="003A6DEC">
        <w:t xml:space="preserve">form </w:t>
      </w:r>
      <w:proofErr w:type="spellStart"/>
      <w:r w:rsidR="0045195F" w:rsidRPr="00FB44C4">
        <w:t>s</w:t>
      </w:r>
      <w:r w:rsidR="00AB606C" w:rsidRPr="00FB44C4">
        <w:t>ubstitutional</w:t>
      </w:r>
      <w:proofErr w:type="spellEnd"/>
      <w:r w:rsidR="00DF2447">
        <w:t xml:space="preserve"> solid solution</w:t>
      </w:r>
      <w:r w:rsidR="00AB606C" w:rsidRPr="00FB44C4">
        <w:t xml:space="preserve"> </w:t>
      </w:r>
      <w:r w:rsidR="0045195F" w:rsidRPr="00FB44C4">
        <w:t xml:space="preserve">in </w:t>
      </w:r>
      <w:r w:rsidR="00AB606C" w:rsidRPr="00FB44C4">
        <w:t>Cobalt, coatings composition changed from</w:t>
      </w:r>
      <w:r w:rsidR="00316EC0">
        <w:t xml:space="preserve"> </w:t>
      </w:r>
      <w:r w:rsidR="0054665C">
        <w:t>hypereutectic</w:t>
      </w:r>
      <w:r w:rsidR="003E680D">
        <w:t xml:space="preserve"> </w:t>
      </w:r>
      <w:r w:rsidR="003E680D" w:rsidRPr="0060191B">
        <w:t xml:space="preserve">T400 </w:t>
      </w:r>
      <w:r w:rsidR="00293A04">
        <w:t xml:space="preserve">(Ref </w:t>
      </w:r>
      <w:r w:rsidR="00702CB9" w:rsidRPr="0060191B">
        <w:t>9</w:t>
      </w:r>
      <w:r w:rsidR="00293A04">
        <w:t>)</w:t>
      </w:r>
      <w:r w:rsidR="0054665C" w:rsidRPr="0060191B">
        <w:t xml:space="preserve"> to </w:t>
      </w:r>
      <w:r w:rsidR="00AB606C" w:rsidRPr="0060191B">
        <w:t>eutectic</w:t>
      </w:r>
      <w:r w:rsidR="005D79AC" w:rsidRPr="0060191B">
        <w:t xml:space="preserve"> </w:t>
      </w:r>
      <w:r w:rsidR="0054665C" w:rsidRPr="0060191B">
        <w:t xml:space="preserve">and </w:t>
      </w:r>
      <w:r w:rsidR="005D79AC" w:rsidRPr="0060191B">
        <w:t>hypoeutectic</w:t>
      </w:r>
      <w:r w:rsidR="00AB606C" w:rsidRPr="0060191B">
        <w:t xml:space="preserve"> </w:t>
      </w:r>
      <w:r w:rsidR="00316EC0" w:rsidRPr="0060191B">
        <w:t xml:space="preserve">coatings </w:t>
      </w:r>
      <w:r w:rsidR="00AB606C" w:rsidRPr="0060191B">
        <w:t xml:space="preserve">as dilution </w:t>
      </w:r>
      <w:r w:rsidR="00AB606C" w:rsidRPr="0023793A">
        <w:rPr>
          <w:highlight w:val="yellow"/>
        </w:rPr>
        <w:t>increase</w:t>
      </w:r>
      <w:r w:rsidR="0022199B" w:rsidRPr="0023793A">
        <w:rPr>
          <w:highlight w:val="yellow"/>
        </w:rPr>
        <w:t>s</w:t>
      </w:r>
      <w:r w:rsidR="003E680D" w:rsidRPr="0023793A">
        <w:rPr>
          <w:highlight w:val="yellow"/>
        </w:rPr>
        <w:t xml:space="preserve">. </w:t>
      </w:r>
      <w:r w:rsidR="009849B0" w:rsidRPr="0023793A">
        <w:rPr>
          <w:highlight w:val="yellow"/>
        </w:rPr>
        <w:t>The l</w:t>
      </w:r>
      <w:r w:rsidR="0060191B" w:rsidRPr="0023793A">
        <w:rPr>
          <w:highlight w:val="yellow"/>
        </w:rPr>
        <w:t>owest dilution</w:t>
      </w:r>
      <w:r w:rsidR="009849B0" w:rsidRPr="0023793A">
        <w:rPr>
          <w:highlight w:val="yellow"/>
        </w:rPr>
        <w:t xml:space="preserve"> (18 %)</w:t>
      </w:r>
      <w:r w:rsidR="0060191B" w:rsidRPr="0023793A">
        <w:rPr>
          <w:highlight w:val="yellow"/>
        </w:rPr>
        <w:t xml:space="preserve"> reduced Silicon and Molybdenum </w:t>
      </w:r>
      <w:r w:rsidR="009849B0" w:rsidRPr="0023793A">
        <w:rPr>
          <w:highlight w:val="yellow"/>
        </w:rPr>
        <w:t>content</w:t>
      </w:r>
      <w:r w:rsidR="0022199B" w:rsidRPr="0023793A">
        <w:rPr>
          <w:highlight w:val="yellow"/>
        </w:rPr>
        <w:t>s</w:t>
      </w:r>
      <w:r w:rsidR="009849B0" w:rsidRPr="0023793A">
        <w:rPr>
          <w:highlight w:val="yellow"/>
        </w:rPr>
        <w:t xml:space="preserve"> </w:t>
      </w:r>
      <w:r w:rsidR="0060191B" w:rsidRPr="0023793A">
        <w:rPr>
          <w:highlight w:val="yellow"/>
        </w:rPr>
        <w:t xml:space="preserve">leading to </w:t>
      </w:r>
      <w:r w:rsidR="009849B0" w:rsidRPr="0023793A">
        <w:rPr>
          <w:highlight w:val="yellow"/>
        </w:rPr>
        <w:t xml:space="preserve">the </w:t>
      </w:r>
      <w:r w:rsidR="0060191B" w:rsidRPr="0023793A">
        <w:rPr>
          <w:highlight w:val="yellow"/>
        </w:rPr>
        <w:t xml:space="preserve">primary Laves </w:t>
      </w:r>
      <w:r w:rsidR="0022199B" w:rsidRPr="0023793A">
        <w:rPr>
          <w:highlight w:val="yellow"/>
        </w:rPr>
        <w:t xml:space="preserve">phase suppression </w:t>
      </w:r>
      <w:r w:rsidR="0060191B" w:rsidRPr="0023793A">
        <w:rPr>
          <w:highlight w:val="yellow"/>
        </w:rPr>
        <w:t xml:space="preserve">and </w:t>
      </w:r>
      <w:r w:rsidR="009849B0" w:rsidRPr="0023793A">
        <w:rPr>
          <w:highlight w:val="yellow"/>
        </w:rPr>
        <w:t xml:space="preserve">to </w:t>
      </w:r>
      <w:r w:rsidR="0060191B" w:rsidRPr="0023793A">
        <w:rPr>
          <w:highlight w:val="yellow"/>
        </w:rPr>
        <w:t>a full</w:t>
      </w:r>
      <w:r w:rsidR="0022199B" w:rsidRPr="0023793A">
        <w:rPr>
          <w:highlight w:val="yellow"/>
        </w:rPr>
        <w:t>y</w:t>
      </w:r>
      <w:r w:rsidR="0060191B" w:rsidRPr="0023793A">
        <w:rPr>
          <w:highlight w:val="yellow"/>
        </w:rPr>
        <w:t xml:space="preserve"> eutectic microstructure. </w:t>
      </w:r>
      <w:r w:rsidR="003025B6" w:rsidRPr="0023793A">
        <w:rPr>
          <w:highlight w:val="yellow"/>
        </w:rPr>
        <w:t>H</w:t>
      </w:r>
      <w:r w:rsidR="0060191B" w:rsidRPr="0023793A">
        <w:rPr>
          <w:highlight w:val="yellow"/>
        </w:rPr>
        <w:t xml:space="preserve">ypoeutectic </w:t>
      </w:r>
      <w:r w:rsidR="003025B6" w:rsidRPr="0023793A">
        <w:rPr>
          <w:highlight w:val="yellow"/>
        </w:rPr>
        <w:t xml:space="preserve">microstructure exhibiting </w:t>
      </w:r>
      <w:r w:rsidR="0060191B" w:rsidRPr="0023793A">
        <w:rPr>
          <w:highlight w:val="yellow"/>
        </w:rPr>
        <w:t xml:space="preserve">Cobalt solid solution dendrites and </w:t>
      </w:r>
      <w:proofErr w:type="spellStart"/>
      <w:r w:rsidR="0060191B" w:rsidRPr="0023793A">
        <w:rPr>
          <w:highlight w:val="yellow"/>
        </w:rPr>
        <w:t>interdendrictic</w:t>
      </w:r>
      <w:proofErr w:type="spellEnd"/>
      <w:r w:rsidR="0060191B" w:rsidRPr="0023793A">
        <w:rPr>
          <w:highlight w:val="yellow"/>
        </w:rPr>
        <w:t xml:space="preserve"> eutectic lamellar</w:t>
      </w:r>
      <w:r w:rsidR="003025B6" w:rsidRPr="0023793A">
        <w:rPr>
          <w:highlight w:val="yellow"/>
        </w:rPr>
        <w:t xml:space="preserve"> was observed for 26 and 38 % dilution, </w:t>
      </w:r>
      <w:r w:rsidR="001074F7" w:rsidRPr="0023793A">
        <w:rPr>
          <w:highlight w:val="yellow"/>
        </w:rPr>
        <w:t>Fig.</w:t>
      </w:r>
      <w:r w:rsidR="004E482F" w:rsidRPr="0023793A">
        <w:rPr>
          <w:highlight w:val="yellow"/>
        </w:rPr>
        <w:t xml:space="preserve"> 6 and </w:t>
      </w:r>
      <w:r w:rsidR="001074F7" w:rsidRPr="0023793A">
        <w:rPr>
          <w:highlight w:val="yellow"/>
        </w:rPr>
        <w:t>Table 4</w:t>
      </w:r>
      <w:r w:rsidR="003E680D" w:rsidRPr="0023793A">
        <w:rPr>
          <w:highlight w:val="yellow"/>
        </w:rPr>
        <w:t>.</w:t>
      </w:r>
    </w:p>
    <w:p w:rsidR="0023793A" w:rsidRPr="00FB44C4" w:rsidRDefault="0023793A" w:rsidP="00DF2069">
      <w:pPr>
        <w:spacing w:line="480" w:lineRule="auto"/>
        <w:ind w:firstLine="708"/>
        <w:jc w:val="both"/>
      </w:pPr>
    </w:p>
    <w:p w:rsidR="00AB1F5F" w:rsidRPr="00FB44C4" w:rsidRDefault="00AB1F5F" w:rsidP="007A3EE6">
      <w:pPr>
        <w:spacing w:line="480" w:lineRule="auto"/>
        <w:jc w:val="both"/>
        <w:rPr>
          <w:b/>
        </w:rPr>
      </w:pPr>
      <w:r w:rsidRPr="0023793A">
        <w:rPr>
          <w:b/>
        </w:rPr>
        <w:t>3.3. Effect of Microstructure on Hardness and Wear Performance</w:t>
      </w:r>
    </w:p>
    <w:p w:rsidR="00AF57E0" w:rsidRDefault="001C4EF5" w:rsidP="002F425C">
      <w:pPr>
        <w:spacing w:line="480" w:lineRule="auto"/>
        <w:ind w:firstLine="708"/>
        <w:jc w:val="both"/>
      </w:pPr>
      <w:proofErr w:type="spellStart"/>
      <w:r w:rsidRPr="00916A73">
        <w:rPr>
          <w:highlight w:val="yellow"/>
        </w:rPr>
        <w:t>CoCrMoSi</w:t>
      </w:r>
      <w:proofErr w:type="spellEnd"/>
      <w:r w:rsidRPr="00916A73">
        <w:rPr>
          <w:highlight w:val="yellow"/>
        </w:rPr>
        <w:t xml:space="preserve"> </w:t>
      </w:r>
      <w:r w:rsidR="00916A73" w:rsidRPr="00916A73">
        <w:rPr>
          <w:highlight w:val="yellow"/>
        </w:rPr>
        <w:t>alloys</w:t>
      </w:r>
      <w:r w:rsidR="00916A73">
        <w:t xml:space="preserve"> are </w:t>
      </w:r>
      <w:proofErr w:type="spellStart"/>
      <w:r>
        <w:t>intermetallic</w:t>
      </w:r>
      <w:proofErr w:type="spellEnd"/>
      <w:r>
        <w:t xml:space="preserve"> reinforced materials and the chemical composition of these alloys is the most important </w:t>
      </w:r>
      <w:r w:rsidR="00317C6D">
        <w:t xml:space="preserve">factor </w:t>
      </w:r>
      <w:r>
        <w:t xml:space="preserve">dictating </w:t>
      </w:r>
      <w:r w:rsidR="001A4BA7">
        <w:t xml:space="preserve">Laves phase </w:t>
      </w:r>
      <w:r>
        <w:t xml:space="preserve">volume fraction </w:t>
      </w:r>
      <w:r w:rsidR="00702CB9">
        <w:t>and</w:t>
      </w:r>
      <w:r w:rsidR="001A4BA7" w:rsidRPr="0023793A">
        <w:rPr>
          <w:highlight w:val="yellow"/>
        </w:rPr>
        <w:t>, thus,</w:t>
      </w:r>
      <w:r w:rsidR="00916A73">
        <w:t xml:space="preserve"> </w:t>
      </w:r>
      <w:r w:rsidR="00702CB9">
        <w:t xml:space="preserve">mechanical </w:t>
      </w:r>
      <w:r w:rsidR="00C6057B">
        <w:t xml:space="preserve">properties </w:t>
      </w:r>
      <w:r w:rsidR="00AA50D7">
        <w:t xml:space="preserve">(Ref </w:t>
      </w:r>
      <w:r w:rsidR="00702CB9">
        <w:t>9</w:t>
      </w:r>
      <w:r w:rsidR="00AA50D7">
        <w:t>)</w:t>
      </w:r>
      <w:r>
        <w:t>.</w:t>
      </w:r>
      <w:r w:rsidR="009858A3">
        <w:t xml:space="preserve"> </w:t>
      </w:r>
      <w:r w:rsidR="001A4BA7" w:rsidRPr="0023793A">
        <w:rPr>
          <w:highlight w:val="yellow"/>
        </w:rPr>
        <w:t>In this context</w:t>
      </w:r>
      <w:r w:rsidR="009858A3">
        <w:t xml:space="preserve">, as important differences on chemical </w:t>
      </w:r>
      <w:r w:rsidR="009858A3">
        <w:lastRenderedPageBreak/>
        <w:t xml:space="preserve">composition </w:t>
      </w:r>
      <w:r w:rsidR="009858A3" w:rsidRPr="00916A73">
        <w:rPr>
          <w:highlight w:val="yellow"/>
        </w:rPr>
        <w:t>occur</w:t>
      </w:r>
      <w:r w:rsidR="00916A73" w:rsidRPr="00916A73">
        <w:rPr>
          <w:highlight w:val="yellow"/>
        </w:rPr>
        <w:t>red</w:t>
      </w:r>
      <w:r w:rsidR="009858A3">
        <w:t xml:space="preserve"> </w:t>
      </w:r>
      <w:r w:rsidR="00F5567A">
        <w:t xml:space="preserve">during processing </w:t>
      </w:r>
      <w:r w:rsidR="001A4BA7" w:rsidRPr="0023793A">
        <w:rPr>
          <w:highlight w:val="yellow"/>
        </w:rPr>
        <w:t>altering</w:t>
      </w:r>
      <w:r w:rsidR="001A4BA7">
        <w:t xml:space="preserve"> </w:t>
      </w:r>
      <w:r w:rsidR="00F5567A">
        <w:t>microstructure</w:t>
      </w:r>
      <w:r w:rsidR="009858A3">
        <w:t>,</w:t>
      </w:r>
      <w:r w:rsidR="00F5567A">
        <w:t xml:space="preserve"> </w:t>
      </w:r>
      <w:r w:rsidR="009462A2" w:rsidRPr="00A51B0B">
        <w:t>changes</w:t>
      </w:r>
      <w:r w:rsidR="00F5567A">
        <w:t xml:space="preserve"> on </w:t>
      </w:r>
      <w:r w:rsidR="009858A3">
        <w:t>coatings properties</w:t>
      </w:r>
      <w:r w:rsidR="00916A73">
        <w:t xml:space="preserve"> </w:t>
      </w:r>
      <w:r w:rsidR="00916A73" w:rsidRPr="00916A73">
        <w:rPr>
          <w:highlight w:val="yellow"/>
        </w:rPr>
        <w:t>are</w:t>
      </w:r>
      <w:r w:rsidR="00F5567A">
        <w:t xml:space="preserve"> expected</w:t>
      </w:r>
      <w:r w:rsidR="009858A3">
        <w:t>.</w:t>
      </w:r>
    </w:p>
    <w:p w:rsidR="00621A6F" w:rsidRPr="00FB44C4" w:rsidRDefault="00916A73" w:rsidP="002F425C">
      <w:pPr>
        <w:spacing w:line="480" w:lineRule="auto"/>
        <w:ind w:firstLine="708"/>
        <w:jc w:val="both"/>
      </w:pPr>
      <w:r w:rsidRPr="0023793A">
        <w:rPr>
          <w:highlight w:val="yellow"/>
        </w:rPr>
        <w:t xml:space="preserve">Higher dilution leaded to </w:t>
      </w:r>
      <w:r w:rsidR="001A4BA7" w:rsidRPr="0023793A">
        <w:rPr>
          <w:highlight w:val="yellow"/>
        </w:rPr>
        <w:t xml:space="preserve">a </w:t>
      </w:r>
      <w:r w:rsidR="00621A6F" w:rsidRPr="0023793A">
        <w:rPr>
          <w:highlight w:val="yellow"/>
        </w:rPr>
        <w:t xml:space="preserve">microstructure </w:t>
      </w:r>
      <w:r w:rsidRPr="0023793A">
        <w:rPr>
          <w:highlight w:val="yellow"/>
        </w:rPr>
        <w:t xml:space="preserve">with reduced </w:t>
      </w:r>
      <w:proofErr w:type="spellStart"/>
      <w:r w:rsidR="001A4BA7" w:rsidRPr="0023793A">
        <w:rPr>
          <w:highlight w:val="yellow"/>
        </w:rPr>
        <w:t>intermetallic</w:t>
      </w:r>
      <w:proofErr w:type="spellEnd"/>
      <w:r w:rsidR="001A4BA7" w:rsidRPr="0023793A">
        <w:rPr>
          <w:highlight w:val="yellow"/>
        </w:rPr>
        <w:t xml:space="preserve"> Laves phase </w:t>
      </w:r>
      <w:r w:rsidR="00621A6F" w:rsidRPr="0023793A">
        <w:rPr>
          <w:highlight w:val="yellow"/>
        </w:rPr>
        <w:t>volume fraction</w:t>
      </w:r>
      <w:r w:rsidRPr="0023793A">
        <w:rPr>
          <w:highlight w:val="yellow"/>
        </w:rPr>
        <w:t xml:space="preserve">, inducing hardness </w:t>
      </w:r>
      <w:r w:rsidR="001A4BA7" w:rsidRPr="0023793A">
        <w:rPr>
          <w:highlight w:val="yellow"/>
        </w:rPr>
        <w:t xml:space="preserve">to </w:t>
      </w:r>
      <w:r w:rsidRPr="0023793A">
        <w:rPr>
          <w:highlight w:val="yellow"/>
        </w:rPr>
        <w:t xml:space="preserve">decrease, </w:t>
      </w:r>
      <w:r w:rsidR="00253547" w:rsidRPr="0023793A">
        <w:rPr>
          <w:highlight w:val="yellow"/>
        </w:rPr>
        <w:t>Fig</w:t>
      </w:r>
      <w:r w:rsidR="00A51B0B" w:rsidRPr="0023793A">
        <w:rPr>
          <w:highlight w:val="yellow"/>
        </w:rPr>
        <w:t>.</w:t>
      </w:r>
      <w:r w:rsidR="00253547" w:rsidRPr="0023793A">
        <w:rPr>
          <w:highlight w:val="yellow"/>
        </w:rPr>
        <w:t xml:space="preserve"> 7</w:t>
      </w:r>
      <w:r w:rsidR="00621A6F" w:rsidRPr="0023793A">
        <w:rPr>
          <w:highlight w:val="yellow"/>
        </w:rPr>
        <w:t>.</w:t>
      </w:r>
      <w:r w:rsidR="00621A6F" w:rsidRPr="00FB44C4">
        <w:t xml:space="preserve"> </w:t>
      </w:r>
      <w:r w:rsidR="009D35D8">
        <w:t>The most significant</w:t>
      </w:r>
      <w:r w:rsidR="00FB1B22">
        <w:t xml:space="preserve"> reduction of the </w:t>
      </w:r>
      <w:r w:rsidR="00253547" w:rsidRPr="00FB44C4">
        <w:t xml:space="preserve">eutectic volume fraction </w:t>
      </w:r>
      <w:r w:rsidR="00EF6585">
        <w:t xml:space="preserve">(40 % reduction) </w:t>
      </w:r>
      <w:r w:rsidR="00253547" w:rsidRPr="00FB44C4">
        <w:t xml:space="preserve">was observed </w:t>
      </w:r>
      <w:r w:rsidR="009462A2" w:rsidRPr="00A51B0B">
        <w:t>comparing</w:t>
      </w:r>
      <w:r w:rsidR="00253547" w:rsidRPr="00FB44C4">
        <w:t xml:space="preserve"> </w:t>
      </w:r>
      <w:r w:rsidR="00AA3858">
        <w:t>18 % (</w:t>
      </w:r>
      <w:r w:rsidR="00253547" w:rsidRPr="00FB44C4">
        <w:t>120 A</w:t>
      </w:r>
      <w:r w:rsidR="00AA3858">
        <w:t>)</w:t>
      </w:r>
      <w:r w:rsidR="00253547" w:rsidRPr="00FB44C4">
        <w:t xml:space="preserve"> </w:t>
      </w:r>
      <w:r w:rsidR="009462A2" w:rsidRPr="00A51B0B">
        <w:t>to</w:t>
      </w:r>
      <w:r w:rsidR="00253547" w:rsidRPr="00FB44C4">
        <w:t xml:space="preserve"> </w:t>
      </w:r>
      <w:r w:rsidR="00A51B0B">
        <w:t>2</w:t>
      </w:r>
      <w:r w:rsidR="00E004CA">
        <w:t>6</w:t>
      </w:r>
      <w:r w:rsidR="00AA3858">
        <w:t> % (</w:t>
      </w:r>
      <w:r w:rsidR="00253547" w:rsidRPr="00FB44C4">
        <w:t>150 A</w:t>
      </w:r>
      <w:r w:rsidR="00AA3858">
        <w:t>)</w:t>
      </w:r>
      <w:r w:rsidR="00253547" w:rsidRPr="00FB44C4">
        <w:t xml:space="preserve"> d</w:t>
      </w:r>
      <w:r w:rsidR="00AA3858">
        <w:t>ilution</w:t>
      </w:r>
      <w:r w:rsidR="00253547" w:rsidRPr="00FB44C4">
        <w:t xml:space="preserve"> and larger </w:t>
      </w:r>
      <w:r w:rsidR="00621A6F" w:rsidRPr="00FB44C4">
        <w:t xml:space="preserve">hardness </w:t>
      </w:r>
      <w:r w:rsidR="00253547" w:rsidRPr="00FB44C4">
        <w:t xml:space="preserve">decrease </w:t>
      </w:r>
      <w:r w:rsidR="009462A2" w:rsidRPr="00892F33">
        <w:t>was</w:t>
      </w:r>
      <w:r w:rsidR="009462A2">
        <w:t xml:space="preserve"> </w:t>
      </w:r>
      <w:r w:rsidR="00127B01">
        <w:t xml:space="preserve">measured </w:t>
      </w:r>
      <w:r w:rsidR="00253547" w:rsidRPr="00FB44C4">
        <w:t xml:space="preserve">on </w:t>
      </w:r>
      <w:proofErr w:type="spellStart"/>
      <w:r w:rsidR="00621A6F" w:rsidRPr="00FB44C4">
        <w:t>CoCrMoSi</w:t>
      </w:r>
      <w:proofErr w:type="spellEnd"/>
      <w:r w:rsidR="00621A6F" w:rsidRPr="00FB44C4">
        <w:t xml:space="preserve"> </w:t>
      </w:r>
      <w:r w:rsidR="00CE755B">
        <w:t xml:space="preserve">alloy </w:t>
      </w:r>
      <w:r w:rsidR="00621A6F" w:rsidRPr="00FB44C4">
        <w:t>coatings</w:t>
      </w:r>
      <w:r w:rsidR="00253547" w:rsidRPr="00FB44C4">
        <w:t xml:space="preserve">. </w:t>
      </w:r>
      <w:r w:rsidR="00FB1B22" w:rsidRPr="008577E5">
        <w:rPr>
          <w:highlight w:val="yellow"/>
        </w:rPr>
        <w:t xml:space="preserve">Furthermore, the higher Iron content </w:t>
      </w:r>
      <w:r w:rsidR="00CA38C6" w:rsidRPr="008577E5">
        <w:rPr>
          <w:highlight w:val="yellow"/>
        </w:rPr>
        <w:t xml:space="preserve">in </w:t>
      </w:r>
      <w:r w:rsidR="00FB1B22" w:rsidRPr="008577E5">
        <w:rPr>
          <w:highlight w:val="yellow"/>
        </w:rPr>
        <w:t xml:space="preserve">solid solution presented deleterious effect, reducing the hardness. </w:t>
      </w:r>
      <w:r w:rsidR="00CA38C6" w:rsidRPr="008577E5">
        <w:rPr>
          <w:highlight w:val="yellow"/>
        </w:rPr>
        <w:t>For the higher dilution (38 %) of coatings processed with 180 A, eutectic volume fraction decreased even more (6 %) leading to the lowest hardness.</w:t>
      </w:r>
      <w:r w:rsidR="0023793A" w:rsidRPr="008577E5">
        <w:rPr>
          <w:highlight w:val="yellow"/>
        </w:rPr>
        <w:t xml:space="preserve"> </w:t>
      </w:r>
      <w:r w:rsidR="00CA38C6" w:rsidRPr="008577E5">
        <w:rPr>
          <w:highlight w:val="yellow"/>
        </w:rPr>
        <w:t>Thus</w:t>
      </w:r>
      <w:r w:rsidR="00E00C73" w:rsidRPr="008577E5">
        <w:rPr>
          <w:highlight w:val="yellow"/>
        </w:rPr>
        <w:t xml:space="preserve">, </w:t>
      </w:r>
      <w:r w:rsidR="005D009B" w:rsidRPr="008577E5">
        <w:rPr>
          <w:highlight w:val="yellow"/>
        </w:rPr>
        <w:t xml:space="preserve">the </w:t>
      </w:r>
      <w:r w:rsidR="00E00C73" w:rsidRPr="008577E5">
        <w:rPr>
          <w:highlight w:val="yellow"/>
        </w:rPr>
        <w:t xml:space="preserve">hardness was influenced firstly by </w:t>
      </w:r>
      <w:r w:rsidR="00253547" w:rsidRPr="008577E5">
        <w:rPr>
          <w:highlight w:val="yellow"/>
        </w:rPr>
        <w:t xml:space="preserve">the volume fraction of </w:t>
      </w:r>
      <w:r w:rsidR="009462A2" w:rsidRPr="008577E5">
        <w:rPr>
          <w:highlight w:val="yellow"/>
        </w:rPr>
        <w:t xml:space="preserve">the </w:t>
      </w:r>
      <w:r w:rsidR="00253547" w:rsidRPr="008577E5">
        <w:rPr>
          <w:highlight w:val="yellow"/>
        </w:rPr>
        <w:t>ha</w:t>
      </w:r>
      <w:r w:rsidR="003F603A" w:rsidRPr="008577E5">
        <w:rPr>
          <w:highlight w:val="yellow"/>
        </w:rPr>
        <w:t>rd phase (</w:t>
      </w:r>
      <w:r w:rsidR="00FB1B22" w:rsidRPr="008577E5">
        <w:rPr>
          <w:highlight w:val="yellow"/>
        </w:rPr>
        <w:t xml:space="preserve">eutectic lamellar containing </w:t>
      </w:r>
      <w:r w:rsidR="00253547" w:rsidRPr="008577E5">
        <w:rPr>
          <w:highlight w:val="yellow"/>
        </w:rPr>
        <w:t xml:space="preserve">Laves phase) </w:t>
      </w:r>
      <w:r w:rsidR="00A726F0" w:rsidRPr="008577E5">
        <w:rPr>
          <w:highlight w:val="yellow"/>
        </w:rPr>
        <w:t>followed by the reduction</w:t>
      </w:r>
      <w:r w:rsidR="00BE5C9B" w:rsidRPr="008577E5">
        <w:rPr>
          <w:highlight w:val="yellow"/>
        </w:rPr>
        <w:t xml:space="preserve"> of </w:t>
      </w:r>
      <w:r w:rsidR="008577E5" w:rsidRPr="008577E5">
        <w:rPr>
          <w:highlight w:val="yellow"/>
        </w:rPr>
        <w:t>alloying</w:t>
      </w:r>
      <w:r w:rsidR="00CA38C6" w:rsidRPr="008577E5">
        <w:rPr>
          <w:highlight w:val="yellow"/>
        </w:rPr>
        <w:t xml:space="preserve"> in solid solution, fol</w:t>
      </w:r>
      <w:r w:rsidR="008577E5">
        <w:rPr>
          <w:highlight w:val="yellow"/>
        </w:rPr>
        <w:t>l</w:t>
      </w:r>
      <w:r w:rsidR="00CA38C6" w:rsidRPr="008577E5">
        <w:rPr>
          <w:highlight w:val="yellow"/>
        </w:rPr>
        <w:t xml:space="preserve">owing the same behavior </w:t>
      </w:r>
      <w:r w:rsidR="00253547" w:rsidRPr="008577E5">
        <w:rPr>
          <w:highlight w:val="yellow"/>
        </w:rPr>
        <w:t xml:space="preserve">previously </w:t>
      </w:r>
      <w:r w:rsidR="009462A2" w:rsidRPr="008577E5">
        <w:rPr>
          <w:highlight w:val="yellow"/>
        </w:rPr>
        <w:t xml:space="preserve">observed </w:t>
      </w:r>
      <w:r w:rsidR="005D009B" w:rsidRPr="008577E5">
        <w:rPr>
          <w:highlight w:val="yellow"/>
        </w:rPr>
        <w:t>on</w:t>
      </w:r>
      <w:r w:rsidR="00CE755B" w:rsidRPr="008577E5">
        <w:rPr>
          <w:highlight w:val="yellow"/>
        </w:rPr>
        <w:t xml:space="preserve"> cast alloy </w:t>
      </w:r>
      <w:r w:rsidR="00892F33" w:rsidRPr="008577E5">
        <w:rPr>
          <w:highlight w:val="yellow"/>
        </w:rPr>
        <w:t xml:space="preserve">(Ref </w:t>
      </w:r>
      <w:r w:rsidR="00621A6F" w:rsidRPr="008577E5">
        <w:rPr>
          <w:highlight w:val="yellow"/>
        </w:rPr>
        <w:t xml:space="preserve">7, 8, </w:t>
      </w:r>
      <w:r w:rsidR="00702CB9" w:rsidRPr="008577E5">
        <w:rPr>
          <w:highlight w:val="yellow"/>
        </w:rPr>
        <w:t>1</w:t>
      </w:r>
      <w:r w:rsidR="002B5024" w:rsidRPr="008577E5">
        <w:rPr>
          <w:highlight w:val="yellow"/>
        </w:rPr>
        <w:t>2</w:t>
      </w:r>
      <w:r w:rsidR="00892F33" w:rsidRPr="008577E5">
        <w:rPr>
          <w:highlight w:val="yellow"/>
        </w:rPr>
        <w:t>)</w:t>
      </w:r>
      <w:r w:rsidR="00621A6F" w:rsidRPr="008577E5">
        <w:rPr>
          <w:highlight w:val="yellow"/>
        </w:rPr>
        <w:t>.</w:t>
      </w:r>
    </w:p>
    <w:p w:rsidR="002276B0" w:rsidRPr="00FB44C4" w:rsidRDefault="00CA38C6" w:rsidP="002F425C">
      <w:pPr>
        <w:spacing w:line="480" w:lineRule="auto"/>
        <w:ind w:firstLine="708"/>
        <w:jc w:val="both"/>
      </w:pPr>
      <w:r w:rsidRPr="00805B2C">
        <w:rPr>
          <w:highlight w:val="yellow"/>
        </w:rPr>
        <w:t>Microstructure of as deposited condition avai</w:t>
      </w:r>
      <w:r w:rsidR="00805B2C" w:rsidRPr="00805B2C">
        <w:rPr>
          <w:highlight w:val="yellow"/>
        </w:rPr>
        <w:t>lable</w:t>
      </w:r>
      <w:r w:rsidRPr="00805B2C">
        <w:rPr>
          <w:highlight w:val="yellow"/>
        </w:rPr>
        <w:t xml:space="preserve"> a better</w:t>
      </w:r>
      <w:r w:rsidR="00805B2C" w:rsidRPr="00805B2C">
        <w:rPr>
          <w:highlight w:val="yellow"/>
        </w:rPr>
        <w:t xml:space="preserve"> </w:t>
      </w:r>
      <w:r w:rsidRPr="00805B2C">
        <w:rPr>
          <w:highlight w:val="yellow"/>
        </w:rPr>
        <w:t>understanding of  the hardness var</w:t>
      </w:r>
      <w:r w:rsidR="00805B2C" w:rsidRPr="00805B2C">
        <w:rPr>
          <w:highlight w:val="yellow"/>
        </w:rPr>
        <w:t>i</w:t>
      </w:r>
      <w:r w:rsidRPr="00805B2C">
        <w:rPr>
          <w:highlight w:val="yellow"/>
        </w:rPr>
        <w:t xml:space="preserve">ation. </w:t>
      </w:r>
      <w:r w:rsidR="0091241C" w:rsidRPr="00805B2C">
        <w:rPr>
          <w:highlight w:val="yellow"/>
        </w:rPr>
        <w:t>Co</w:t>
      </w:r>
      <w:r w:rsidR="00BC7F93" w:rsidRPr="00805B2C">
        <w:rPr>
          <w:highlight w:val="yellow"/>
        </w:rPr>
        <w:t xml:space="preserve">-based T400 </w:t>
      </w:r>
      <w:r w:rsidRPr="00805B2C">
        <w:rPr>
          <w:highlight w:val="yellow"/>
        </w:rPr>
        <w:t>coatings</w:t>
      </w:r>
      <w:r w:rsidR="0091241C" w:rsidRPr="00805B2C">
        <w:rPr>
          <w:highlight w:val="yellow"/>
        </w:rPr>
        <w:t xml:space="preserve"> </w:t>
      </w:r>
      <w:r w:rsidR="00F9765D" w:rsidRPr="00805B2C">
        <w:rPr>
          <w:highlight w:val="yellow"/>
        </w:rPr>
        <w:t xml:space="preserve">mean </w:t>
      </w:r>
      <w:r w:rsidR="00805B2C" w:rsidRPr="00805B2C">
        <w:rPr>
          <w:highlight w:val="yellow"/>
        </w:rPr>
        <w:t>hardness</w:t>
      </w:r>
      <w:r w:rsidRPr="00805B2C">
        <w:rPr>
          <w:highlight w:val="yellow"/>
        </w:rPr>
        <w:t xml:space="preserve"> ranged </w:t>
      </w:r>
      <w:r w:rsidR="0091241C" w:rsidRPr="00805B2C">
        <w:rPr>
          <w:highlight w:val="yellow"/>
        </w:rPr>
        <w:t>from 702</w:t>
      </w:r>
      <w:r w:rsidR="00F9765D" w:rsidRPr="00805B2C">
        <w:rPr>
          <w:highlight w:val="yellow"/>
        </w:rPr>
        <w:t> </w:t>
      </w:r>
      <w:r w:rsidR="0091241C" w:rsidRPr="00805B2C">
        <w:rPr>
          <w:highlight w:val="yellow"/>
        </w:rPr>
        <w:t>to</w:t>
      </w:r>
      <w:r w:rsidR="00F9765D" w:rsidRPr="00805B2C">
        <w:rPr>
          <w:highlight w:val="yellow"/>
        </w:rPr>
        <w:t> </w:t>
      </w:r>
      <w:r w:rsidR="0091241C" w:rsidRPr="00805B2C">
        <w:rPr>
          <w:highlight w:val="yellow"/>
        </w:rPr>
        <w:t>526</w:t>
      </w:r>
      <w:r w:rsidR="00F9765D" w:rsidRPr="00805B2C">
        <w:rPr>
          <w:highlight w:val="yellow"/>
        </w:rPr>
        <w:t> </w:t>
      </w:r>
      <w:r w:rsidR="0091241C" w:rsidRPr="00805B2C">
        <w:rPr>
          <w:highlight w:val="yellow"/>
        </w:rPr>
        <w:t>HV</w:t>
      </w:r>
      <w:r w:rsidR="0091241C" w:rsidRPr="00805B2C">
        <w:rPr>
          <w:highlight w:val="yellow"/>
          <w:vertAlign w:val="subscript"/>
        </w:rPr>
        <w:t>0</w:t>
      </w:r>
      <w:r w:rsidR="00BC7F93" w:rsidRPr="00805B2C">
        <w:rPr>
          <w:highlight w:val="yellow"/>
          <w:vertAlign w:val="subscript"/>
        </w:rPr>
        <w:t>.</w:t>
      </w:r>
      <w:r w:rsidR="0091241C" w:rsidRPr="00805B2C">
        <w:rPr>
          <w:highlight w:val="yellow"/>
          <w:vertAlign w:val="subscript"/>
        </w:rPr>
        <w:t>5</w:t>
      </w:r>
      <w:r w:rsidR="00BC7F93" w:rsidRPr="00805B2C">
        <w:rPr>
          <w:highlight w:val="yellow"/>
          <w:vertAlign w:val="subscript"/>
        </w:rPr>
        <w:t>,</w:t>
      </w:r>
      <w:r w:rsidR="0091241C" w:rsidRPr="00805B2C">
        <w:rPr>
          <w:highlight w:val="yellow"/>
        </w:rPr>
        <w:t xml:space="preserve"> as </w:t>
      </w:r>
      <w:r w:rsidR="007A0862" w:rsidRPr="00805B2C">
        <w:rPr>
          <w:highlight w:val="yellow"/>
        </w:rPr>
        <w:t>a result of increasing dilution</w:t>
      </w:r>
      <w:r w:rsidR="0091241C" w:rsidRPr="00805B2C">
        <w:rPr>
          <w:highlight w:val="yellow"/>
        </w:rPr>
        <w:t xml:space="preserve"> which </w:t>
      </w:r>
      <w:r w:rsidR="00F9765D" w:rsidRPr="00805B2C">
        <w:rPr>
          <w:highlight w:val="yellow"/>
        </w:rPr>
        <w:t>increase</w:t>
      </w:r>
      <w:r w:rsidR="00214BE4" w:rsidRPr="00805B2C">
        <w:rPr>
          <w:highlight w:val="yellow"/>
        </w:rPr>
        <w:t>d</w:t>
      </w:r>
      <w:r w:rsidR="00F9765D" w:rsidRPr="00805B2C">
        <w:rPr>
          <w:highlight w:val="yellow"/>
        </w:rPr>
        <w:t xml:space="preserve"> </w:t>
      </w:r>
      <w:r w:rsidR="00214BE4" w:rsidRPr="00805B2C">
        <w:rPr>
          <w:highlight w:val="yellow"/>
        </w:rPr>
        <w:t>the</w:t>
      </w:r>
      <w:r w:rsidR="00F9765D" w:rsidRPr="00805B2C">
        <w:rPr>
          <w:highlight w:val="yellow"/>
        </w:rPr>
        <w:t xml:space="preserve"> volume of </w:t>
      </w:r>
      <w:r w:rsidRPr="00805B2C">
        <w:rPr>
          <w:highlight w:val="yellow"/>
        </w:rPr>
        <w:t xml:space="preserve">the </w:t>
      </w:r>
      <w:r w:rsidR="00F80656" w:rsidRPr="00805B2C">
        <w:rPr>
          <w:highlight w:val="yellow"/>
        </w:rPr>
        <w:t xml:space="preserve">lower hardness </w:t>
      </w:r>
      <w:r w:rsidRPr="00805B2C">
        <w:rPr>
          <w:highlight w:val="yellow"/>
        </w:rPr>
        <w:t xml:space="preserve">phase, </w:t>
      </w:r>
      <w:r w:rsidR="00F9765D" w:rsidRPr="00805B2C">
        <w:rPr>
          <w:highlight w:val="yellow"/>
        </w:rPr>
        <w:t>Cobalt solid solution</w:t>
      </w:r>
      <w:r w:rsidR="005609D5" w:rsidRPr="00805B2C">
        <w:rPr>
          <w:highlight w:val="yellow"/>
        </w:rPr>
        <w:t>.</w:t>
      </w:r>
      <w:r w:rsidR="005609D5">
        <w:t xml:space="preserve"> </w:t>
      </w:r>
      <w:r w:rsidR="004D27D1">
        <w:t>Higher deposition current le</w:t>
      </w:r>
      <w:r w:rsidR="0005547A">
        <w:t>d</w:t>
      </w:r>
      <w:r w:rsidR="004D27D1">
        <w:t xml:space="preserve"> to </w:t>
      </w:r>
      <w:r w:rsidR="00E2229A">
        <w:t xml:space="preserve">higher Iron, </w:t>
      </w:r>
      <w:r w:rsidR="00BC5061">
        <w:t xml:space="preserve">Chromium </w:t>
      </w:r>
      <w:r w:rsidR="00E2229A">
        <w:t xml:space="preserve">and Nickel </w:t>
      </w:r>
      <w:r w:rsidR="00BC5061">
        <w:t>content</w:t>
      </w:r>
      <w:r w:rsidRPr="00056E42">
        <w:rPr>
          <w:highlight w:val="yellow"/>
        </w:rPr>
        <w:t>s</w:t>
      </w:r>
      <w:r w:rsidR="00BC5061">
        <w:t xml:space="preserve"> </w:t>
      </w:r>
      <w:r w:rsidR="00BC5061" w:rsidRPr="00BC7F93">
        <w:rPr>
          <w:highlight w:val="yellow"/>
        </w:rPr>
        <w:t xml:space="preserve">on </w:t>
      </w:r>
      <w:r w:rsidRPr="00056E42">
        <w:rPr>
          <w:highlight w:val="yellow"/>
        </w:rPr>
        <w:t>the melted pool</w:t>
      </w:r>
      <w:r w:rsidR="00BC5061">
        <w:t>, reducing M</w:t>
      </w:r>
      <w:r w:rsidR="0005547A">
        <w:t>oly</w:t>
      </w:r>
      <w:r w:rsidR="00BC5061">
        <w:t xml:space="preserve">bdenum </w:t>
      </w:r>
      <w:r w:rsidRPr="00056E42">
        <w:rPr>
          <w:highlight w:val="yellow"/>
        </w:rPr>
        <w:t>proportional</w:t>
      </w:r>
      <w:r w:rsidR="00056E42" w:rsidRPr="00056E42">
        <w:rPr>
          <w:highlight w:val="yellow"/>
        </w:rPr>
        <w:t>l</w:t>
      </w:r>
      <w:r w:rsidRPr="00056E42">
        <w:rPr>
          <w:highlight w:val="yellow"/>
        </w:rPr>
        <w:t>y</w:t>
      </w:r>
      <w:r>
        <w:t xml:space="preserve"> </w:t>
      </w:r>
      <w:r w:rsidR="00BC5061">
        <w:t>and</w:t>
      </w:r>
      <w:r>
        <w:t xml:space="preserve">, therefore, </w:t>
      </w:r>
      <w:r w:rsidRPr="00056E42">
        <w:rPr>
          <w:highlight w:val="yellow"/>
        </w:rPr>
        <w:t>the</w:t>
      </w:r>
      <w:r w:rsidR="00BC5061">
        <w:t xml:space="preserve"> s</w:t>
      </w:r>
      <w:r w:rsidR="005609D5">
        <w:t xml:space="preserve">olid solution </w:t>
      </w:r>
      <w:r w:rsidR="003760AC">
        <w:t>hardening</w:t>
      </w:r>
      <w:r w:rsidR="009D2F9A">
        <w:t xml:space="preserve"> </w:t>
      </w:r>
      <w:r w:rsidRPr="00056E42">
        <w:rPr>
          <w:highlight w:val="yellow"/>
        </w:rPr>
        <w:t>effect</w:t>
      </w:r>
      <w:r>
        <w:t xml:space="preserve"> </w:t>
      </w:r>
      <w:r w:rsidR="00A10DFC">
        <w:t>(Table 4</w:t>
      </w:r>
      <w:r w:rsidR="00391D1A">
        <w:t>)</w:t>
      </w:r>
      <w:r w:rsidR="00BC5061">
        <w:t xml:space="preserve">. </w:t>
      </w:r>
      <w:r w:rsidRPr="00056E42">
        <w:rPr>
          <w:highlight w:val="yellow"/>
        </w:rPr>
        <w:t xml:space="preserve">Developed </w:t>
      </w:r>
      <w:r w:rsidR="00660AFE" w:rsidRPr="00056E42">
        <w:rPr>
          <w:highlight w:val="yellow"/>
        </w:rPr>
        <w:t xml:space="preserve">microstructure </w:t>
      </w:r>
      <w:r w:rsidR="00BC7F93" w:rsidRPr="00056E42">
        <w:rPr>
          <w:highlight w:val="yellow"/>
        </w:rPr>
        <w:t xml:space="preserve">and phase distribution observed </w:t>
      </w:r>
      <w:r w:rsidR="00660AFE" w:rsidRPr="00056E42">
        <w:rPr>
          <w:highlight w:val="yellow"/>
        </w:rPr>
        <w:t xml:space="preserve">as well as </w:t>
      </w:r>
      <w:r w:rsidR="00BC7F93" w:rsidRPr="00056E42">
        <w:rPr>
          <w:highlight w:val="yellow"/>
        </w:rPr>
        <w:t xml:space="preserve">the </w:t>
      </w:r>
      <w:r w:rsidRPr="00056E42">
        <w:rPr>
          <w:highlight w:val="yellow"/>
        </w:rPr>
        <w:t xml:space="preserve">measured coatings </w:t>
      </w:r>
      <w:r w:rsidR="00BC7F93" w:rsidRPr="00056E42">
        <w:rPr>
          <w:highlight w:val="yellow"/>
        </w:rPr>
        <w:t xml:space="preserve">hardness </w:t>
      </w:r>
      <w:r w:rsidR="00FB2757" w:rsidRPr="00056E42">
        <w:rPr>
          <w:highlight w:val="yellow"/>
        </w:rPr>
        <w:t>are</w:t>
      </w:r>
      <w:r w:rsidR="00597C78" w:rsidRPr="00056E42">
        <w:rPr>
          <w:highlight w:val="yellow"/>
        </w:rPr>
        <w:t xml:space="preserve"> in </w:t>
      </w:r>
      <w:r w:rsidR="00660AFE" w:rsidRPr="00056E42">
        <w:rPr>
          <w:highlight w:val="yellow"/>
        </w:rPr>
        <w:t>a</w:t>
      </w:r>
      <w:r w:rsidR="0091241C" w:rsidRPr="00056E42">
        <w:rPr>
          <w:highlight w:val="yellow"/>
        </w:rPr>
        <w:t>gr</w:t>
      </w:r>
      <w:r w:rsidR="00453D9B" w:rsidRPr="00056E42">
        <w:rPr>
          <w:highlight w:val="yellow"/>
        </w:rPr>
        <w:t>ee</w:t>
      </w:r>
      <w:r w:rsidR="00597C78" w:rsidRPr="00056E42">
        <w:rPr>
          <w:highlight w:val="yellow"/>
        </w:rPr>
        <w:t>ment</w:t>
      </w:r>
      <w:r w:rsidR="00453D9B" w:rsidRPr="00056E42">
        <w:rPr>
          <w:highlight w:val="yellow"/>
        </w:rPr>
        <w:t xml:space="preserve"> with </w:t>
      </w:r>
      <w:r w:rsidR="00597C78" w:rsidRPr="00056E42">
        <w:rPr>
          <w:highlight w:val="yellow"/>
        </w:rPr>
        <w:t>literature</w:t>
      </w:r>
      <w:r w:rsidR="0091241C" w:rsidRPr="00056E42">
        <w:rPr>
          <w:highlight w:val="yellow"/>
        </w:rPr>
        <w:t xml:space="preserve"> </w:t>
      </w:r>
      <w:r w:rsidR="00056E42">
        <w:rPr>
          <w:highlight w:val="yellow"/>
        </w:rPr>
        <w:t>prediction</w:t>
      </w:r>
      <w:r w:rsidRPr="00056E42">
        <w:rPr>
          <w:highlight w:val="yellow"/>
        </w:rPr>
        <w:t xml:space="preserve"> </w:t>
      </w:r>
      <w:r w:rsidR="00A10DFC" w:rsidRPr="00056E42">
        <w:rPr>
          <w:highlight w:val="yellow"/>
        </w:rPr>
        <w:t xml:space="preserve">(Ref </w:t>
      </w:r>
      <w:r w:rsidR="0091241C" w:rsidRPr="00056E42">
        <w:rPr>
          <w:highlight w:val="yellow"/>
        </w:rPr>
        <w:t>8</w:t>
      </w:r>
      <w:r w:rsidR="00A10DFC" w:rsidRPr="00056E42">
        <w:rPr>
          <w:highlight w:val="yellow"/>
        </w:rPr>
        <w:t>)</w:t>
      </w:r>
      <w:r w:rsidR="006713F6" w:rsidRPr="00056E42">
        <w:rPr>
          <w:highlight w:val="yellow"/>
        </w:rPr>
        <w:t>.</w:t>
      </w:r>
    </w:p>
    <w:p w:rsidR="00700762" w:rsidRPr="00FB44C4" w:rsidRDefault="00CA38C6" w:rsidP="00F01498">
      <w:pPr>
        <w:spacing w:line="480" w:lineRule="auto"/>
        <w:ind w:firstLine="708"/>
        <w:jc w:val="both"/>
      </w:pPr>
      <w:r w:rsidRPr="00056E42">
        <w:rPr>
          <w:highlight w:val="yellow"/>
        </w:rPr>
        <w:t>Coatings wear behavior was assessed to evaluate t</w:t>
      </w:r>
      <w:r w:rsidR="00700762" w:rsidRPr="00056E42">
        <w:rPr>
          <w:highlight w:val="yellow"/>
        </w:rPr>
        <w:t xml:space="preserve">he response of </w:t>
      </w:r>
      <w:r w:rsidR="009E2454" w:rsidRPr="00056E42">
        <w:rPr>
          <w:highlight w:val="yellow"/>
        </w:rPr>
        <w:t xml:space="preserve">the T400 </w:t>
      </w:r>
      <w:r w:rsidRPr="00056E42">
        <w:rPr>
          <w:highlight w:val="yellow"/>
        </w:rPr>
        <w:t xml:space="preserve">in a </w:t>
      </w:r>
      <w:proofErr w:type="spellStart"/>
      <w:r w:rsidR="00700762" w:rsidRPr="00056E42">
        <w:rPr>
          <w:highlight w:val="yellow"/>
        </w:rPr>
        <w:t>hardfacing</w:t>
      </w:r>
      <w:proofErr w:type="spellEnd"/>
      <w:r w:rsidR="00700762" w:rsidRPr="00056E42">
        <w:rPr>
          <w:highlight w:val="yellow"/>
        </w:rPr>
        <w:t xml:space="preserve"> </w:t>
      </w:r>
      <w:r w:rsidR="00446C6E" w:rsidRPr="00056E42">
        <w:rPr>
          <w:highlight w:val="yellow"/>
        </w:rPr>
        <w:t>condition</w:t>
      </w:r>
      <w:r w:rsidRPr="00056E42">
        <w:rPr>
          <w:highlight w:val="yellow"/>
        </w:rPr>
        <w:t xml:space="preserve">, according to the interaction degree with the </w:t>
      </w:r>
      <w:proofErr w:type="spellStart"/>
      <w:r w:rsidRPr="00056E42">
        <w:rPr>
          <w:highlight w:val="yellow"/>
        </w:rPr>
        <w:t>substarte</w:t>
      </w:r>
      <w:proofErr w:type="spellEnd"/>
      <w:r w:rsidRPr="00056E42">
        <w:rPr>
          <w:highlight w:val="yellow"/>
        </w:rPr>
        <w:t xml:space="preserve"> (dilution)</w:t>
      </w:r>
      <w:r w:rsidR="00700762" w:rsidRPr="00056E42">
        <w:rPr>
          <w:highlight w:val="yellow"/>
        </w:rPr>
        <w:t>.</w:t>
      </w:r>
      <w:r w:rsidRPr="00056E42">
        <w:rPr>
          <w:highlight w:val="yellow"/>
        </w:rPr>
        <w:t xml:space="preserve"> T</w:t>
      </w:r>
      <w:r w:rsidR="004274FB" w:rsidRPr="00056E42">
        <w:rPr>
          <w:highlight w:val="yellow"/>
        </w:rPr>
        <w:t xml:space="preserve">he </w:t>
      </w:r>
      <w:r w:rsidR="003F2A58" w:rsidRPr="00056E42">
        <w:rPr>
          <w:highlight w:val="yellow"/>
        </w:rPr>
        <w:t xml:space="preserve">coatings were tested in the as deposited condition with </w:t>
      </w:r>
      <w:r w:rsidR="00056E42" w:rsidRPr="00056E42">
        <w:rPr>
          <w:highlight w:val="yellow"/>
        </w:rPr>
        <w:t>c</w:t>
      </w:r>
      <w:r w:rsidR="003F2A58" w:rsidRPr="00056E42">
        <w:rPr>
          <w:highlight w:val="yellow"/>
        </w:rPr>
        <w:t xml:space="preserve">onstant </w:t>
      </w:r>
      <w:r w:rsidRPr="00056E42">
        <w:rPr>
          <w:highlight w:val="yellow"/>
        </w:rPr>
        <w:t xml:space="preserve">test </w:t>
      </w:r>
      <w:r w:rsidR="003F2A58" w:rsidRPr="00056E42">
        <w:rPr>
          <w:highlight w:val="yellow"/>
        </w:rPr>
        <w:t xml:space="preserve">parameters. </w:t>
      </w:r>
      <w:r w:rsidR="004274FB" w:rsidRPr="00056E42">
        <w:rPr>
          <w:highlight w:val="yellow"/>
        </w:rPr>
        <w:t>The</w:t>
      </w:r>
      <w:r w:rsidRPr="00056E42">
        <w:rPr>
          <w:highlight w:val="yellow"/>
        </w:rPr>
        <w:t xml:space="preserve"> higher current intensity (180A) changes </w:t>
      </w:r>
      <w:r w:rsidR="004274FB" w:rsidRPr="00056E42">
        <w:rPr>
          <w:highlight w:val="yellow"/>
        </w:rPr>
        <w:t>m</w:t>
      </w:r>
      <w:r w:rsidR="00700762" w:rsidRPr="00056E42">
        <w:rPr>
          <w:highlight w:val="yellow"/>
        </w:rPr>
        <w:t>icr</w:t>
      </w:r>
      <w:r w:rsidR="006713F6" w:rsidRPr="00056E42">
        <w:rPr>
          <w:highlight w:val="yellow"/>
        </w:rPr>
        <w:t>ostructure and hardness</w:t>
      </w:r>
      <w:r w:rsidR="00056E42" w:rsidRPr="00056E42">
        <w:rPr>
          <w:highlight w:val="yellow"/>
        </w:rPr>
        <w:t xml:space="preserve"> and</w:t>
      </w:r>
      <w:r w:rsidR="006713F6" w:rsidRPr="00056E42">
        <w:rPr>
          <w:highlight w:val="yellow"/>
        </w:rPr>
        <w:t xml:space="preserve"> </w:t>
      </w:r>
      <w:r w:rsidR="00700762" w:rsidRPr="00056E42">
        <w:rPr>
          <w:highlight w:val="yellow"/>
        </w:rPr>
        <w:t xml:space="preserve">induced </w:t>
      </w:r>
      <w:r w:rsidRPr="00056E42">
        <w:rPr>
          <w:highlight w:val="yellow"/>
        </w:rPr>
        <w:t xml:space="preserve">to an </w:t>
      </w:r>
      <w:r w:rsidR="00700762" w:rsidRPr="00056E42">
        <w:rPr>
          <w:highlight w:val="yellow"/>
        </w:rPr>
        <w:t>i</w:t>
      </w:r>
      <w:r w:rsidR="00446C6E" w:rsidRPr="00056E42">
        <w:rPr>
          <w:highlight w:val="yellow"/>
        </w:rPr>
        <w:t>ncrease</w:t>
      </w:r>
      <w:r w:rsidR="00056E42" w:rsidRPr="00056E42">
        <w:rPr>
          <w:highlight w:val="yellow"/>
        </w:rPr>
        <w:t xml:space="preserve"> </w:t>
      </w:r>
      <w:r w:rsidRPr="00056E42">
        <w:rPr>
          <w:highlight w:val="yellow"/>
        </w:rPr>
        <w:t>on</w:t>
      </w:r>
      <w:r w:rsidR="00334199" w:rsidRPr="00056E42">
        <w:rPr>
          <w:highlight w:val="yellow"/>
        </w:rPr>
        <w:t xml:space="preserve"> </w:t>
      </w:r>
      <w:r w:rsidR="00446C6E" w:rsidRPr="00056E42">
        <w:rPr>
          <w:highlight w:val="yellow"/>
        </w:rPr>
        <w:t>mass loss rate, Fig</w:t>
      </w:r>
      <w:r w:rsidR="00A10DFC" w:rsidRPr="00056E42">
        <w:rPr>
          <w:highlight w:val="yellow"/>
        </w:rPr>
        <w:t xml:space="preserve">. </w:t>
      </w:r>
      <w:r w:rsidR="00446C6E" w:rsidRPr="00056E42">
        <w:rPr>
          <w:highlight w:val="yellow"/>
        </w:rPr>
        <w:t>8</w:t>
      </w:r>
      <w:r w:rsidR="00BC16E0" w:rsidRPr="00056E42">
        <w:rPr>
          <w:highlight w:val="yellow"/>
        </w:rPr>
        <w:t>a</w:t>
      </w:r>
      <w:r w:rsidR="00700762" w:rsidRPr="00056E42">
        <w:rPr>
          <w:highlight w:val="yellow"/>
        </w:rPr>
        <w:t>.</w:t>
      </w:r>
      <w:r w:rsidR="00700762" w:rsidRPr="00FB44C4">
        <w:t xml:space="preserve"> </w:t>
      </w:r>
      <w:r w:rsidR="00700762" w:rsidRPr="007E577B">
        <w:t xml:space="preserve">Under </w:t>
      </w:r>
      <w:r w:rsidR="00334199" w:rsidRPr="004274FB">
        <w:rPr>
          <w:highlight w:val="yellow"/>
        </w:rPr>
        <w:t>tes</w:t>
      </w:r>
      <w:r w:rsidR="00334199" w:rsidRPr="00056E42">
        <w:rPr>
          <w:highlight w:val="yellow"/>
        </w:rPr>
        <w:t>t</w:t>
      </w:r>
      <w:r w:rsidRPr="00056E42">
        <w:rPr>
          <w:highlight w:val="yellow"/>
        </w:rPr>
        <w:t>ed</w:t>
      </w:r>
      <w:r w:rsidR="00334199" w:rsidRPr="007E577B">
        <w:t xml:space="preserve"> </w:t>
      </w:r>
      <w:r w:rsidR="004274FB" w:rsidRPr="00056E42">
        <w:rPr>
          <w:highlight w:val="yellow"/>
        </w:rPr>
        <w:t>condition</w:t>
      </w:r>
      <w:r w:rsidRPr="00056E42">
        <w:rPr>
          <w:highlight w:val="yellow"/>
        </w:rPr>
        <w:t>s</w:t>
      </w:r>
      <w:r w:rsidR="00334199" w:rsidRPr="00056E42">
        <w:rPr>
          <w:highlight w:val="yellow"/>
        </w:rPr>
        <w:t>,</w:t>
      </w:r>
      <w:r w:rsidR="00334199">
        <w:t xml:space="preserve"> </w:t>
      </w:r>
      <w:r w:rsidR="00700762" w:rsidRPr="00FB44C4">
        <w:t>a linear correlation between slid</w:t>
      </w:r>
      <w:r w:rsidR="00E2229A">
        <w:t xml:space="preserve">ing distance and mass loss </w:t>
      </w:r>
      <w:r w:rsidR="00E57D25" w:rsidRPr="00056E42">
        <w:rPr>
          <w:highlight w:val="yellow"/>
        </w:rPr>
        <w:t>was</w:t>
      </w:r>
      <w:r w:rsidR="00E57D25">
        <w:t xml:space="preserve"> </w:t>
      </w:r>
      <w:r w:rsidR="00700762" w:rsidRPr="00FB44C4">
        <w:t xml:space="preserve">measured </w:t>
      </w:r>
      <w:r w:rsidR="00E57D25" w:rsidRPr="00056E42">
        <w:rPr>
          <w:highlight w:val="yellow"/>
        </w:rPr>
        <w:t>by varying</w:t>
      </w:r>
      <w:r w:rsidR="00E57D25">
        <w:t xml:space="preserve"> </w:t>
      </w:r>
      <w:r w:rsidR="00700762" w:rsidRPr="00FB44C4">
        <w:t>sliding distance</w:t>
      </w:r>
      <w:r w:rsidR="00E338ED" w:rsidRPr="00FB44C4">
        <w:t xml:space="preserve"> </w:t>
      </w:r>
      <w:r w:rsidR="007E577B">
        <w:t>(Ref 10)</w:t>
      </w:r>
      <w:r w:rsidR="00700762" w:rsidRPr="00FB44C4">
        <w:t>.</w:t>
      </w:r>
      <w:r w:rsidR="00FD77C4">
        <w:t xml:space="preserve"> </w:t>
      </w:r>
      <w:r w:rsidR="00E57D25" w:rsidRPr="00056E42">
        <w:rPr>
          <w:highlight w:val="yellow"/>
        </w:rPr>
        <w:t>As expected, t</w:t>
      </w:r>
      <w:r w:rsidR="00056E42">
        <w:rPr>
          <w:highlight w:val="yellow"/>
        </w:rPr>
        <w:t xml:space="preserve">he result </w:t>
      </w:r>
      <w:r w:rsidR="004274FB" w:rsidRPr="00056E42">
        <w:rPr>
          <w:highlight w:val="yellow"/>
        </w:rPr>
        <w:lastRenderedPageBreak/>
        <w:t>abided by Holm-</w:t>
      </w:r>
      <w:proofErr w:type="spellStart"/>
      <w:r w:rsidR="004274FB" w:rsidRPr="00056E42">
        <w:rPr>
          <w:highlight w:val="yellow"/>
        </w:rPr>
        <w:t>Archard</w:t>
      </w:r>
      <w:proofErr w:type="spellEnd"/>
      <w:r w:rsidR="004274FB" w:rsidRPr="00056E42">
        <w:rPr>
          <w:highlight w:val="yellow"/>
        </w:rPr>
        <w:t xml:space="preserve"> </w:t>
      </w:r>
      <w:r w:rsidR="004274FB" w:rsidRPr="004274FB">
        <w:rPr>
          <w:highlight w:val="yellow"/>
        </w:rPr>
        <w:t xml:space="preserve">equation which establishes that the volume </w:t>
      </w:r>
      <w:r w:rsidR="004274FB" w:rsidRPr="00E638B0">
        <w:rPr>
          <w:highlight w:val="yellow"/>
        </w:rPr>
        <w:t>wear is inversely proportional to the hardness</w:t>
      </w:r>
      <w:r w:rsidR="00FD77C4" w:rsidRPr="00E638B0">
        <w:rPr>
          <w:highlight w:val="yellow"/>
        </w:rPr>
        <w:t xml:space="preserve"> </w:t>
      </w:r>
      <w:r w:rsidR="007E577B" w:rsidRPr="00E638B0">
        <w:rPr>
          <w:highlight w:val="yellow"/>
        </w:rPr>
        <w:t xml:space="preserve">(Ref </w:t>
      </w:r>
      <w:r w:rsidR="002B5024" w:rsidRPr="00E638B0">
        <w:rPr>
          <w:highlight w:val="yellow"/>
        </w:rPr>
        <w:t>13</w:t>
      </w:r>
      <w:r w:rsidR="007E577B" w:rsidRPr="00E638B0">
        <w:rPr>
          <w:highlight w:val="yellow"/>
        </w:rPr>
        <w:t>)</w:t>
      </w:r>
      <w:r w:rsidR="004A4FBD" w:rsidRPr="00E638B0">
        <w:rPr>
          <w:highlight w:val="yellow"/>
        </w:rPr>
        <w:t>.</w:t>
      </w:r>
    </w:p>
    <w:p w:rsidR="00700762" w:rsidRPr="00FB44C4" w:rsidRDefault="00E638B0" w:rsidP="002F425C">
      <w:pPr>
        <w:spacing w:line="480" w:lineRule="auto"/>
        <w:ind w:firstLine="708"/>
        <w:jc w:val="both"/>
      </w:pPr>
      <w:r w:rsidRPr="00DC2E92">
        <w:rPr>
          <w:highlight w:val="yellow"/>
        </w:rPr>
        <w:t xml:space="preserve">Coatings </w:t>
      </w:r>
      <w:r w:rsidR="00DC2E92" w:rsidRPr="00DC2E92">
        <w:rPr>
          <w:highlight w:val="yellow"/>
        </w:rPr>
        <w:t>d</w:t>
      </w:r>
      <w:r w:rsidR="009C66B4" w:rsidRPr="00DC2E92">
        <w:rPr>
          <w:highlight w:val="yellow"/>
        </w:rPr>
        <w:t xml:space="preserve">ifferences </w:t>
      </w:r>
      <w:r w:rsidR="009C66B4" w:rsidRPr="009C66B4">
        <w:rPr>
          <w:highlight w:val="yellow"/>
        </w:rPr>
        <w:t xml:space="preserve">on </w:t>
      </w:r>
      <w:r w:rsidR="00334199" w:rsidRPr="009C66B4">
        <w:rPr>
          <w:highlight w:val="yellow"/>
        </w:rPr>
        <w:t>c</w:t>
      </w:r>
      <w:r w:rsidR="00700762" w:rsidRPr="009C66B4">
        <w:rPr>
          <w:highlight w:val="yellow"/>
        </w:rPr>
        <w:t xml:space="preserve">hemical composition </w:t>
      </w:r>
      <w:r w:rsidR="00E80CBB" w:rsidRPr="009C66B4">
        <w:rPr>
          <w:highlight w:val="yellow"/>
        </w:rPr>
        <w:t xml:space="preserve">influenced </w:t>
      </w:r>
      <w:r w:rsidR="009C66B4" w:rsidRPr="009C66B4">
        <w:rPr>
          <w:highlight w:val="yellow"/>
        </w:rPr>
        <w:t xml:space="preserve">wear </w:t>
      </w:r>
      <w:r w:rsidR="003C5BC6" w:rsidRPr="009C66B4">
        <w:rPr>
          <w:highlight w:val="yellow"/>
        </w:rPr>
        <w:t>mass loss rate</w:t>
      </w:r>
      <w:r w:rsidR="00054678" w:rsidRPr="009C66B4">
        <w:rPr>
          <w:highlight w:val="yellow"/>
        </w:rPr>
        <w:t>.</w:t>
      </w:r>
      <w:r w:rsidR="003C5BC6" w:rsidRPr="00054678">
        <w:t xml:space="preserve"> </w:t>
      </w:r>
      <w:r w:rsidR="00AB1DE9" w:rsidRPr="00AB1DE9">
        <w:rPr>
          <w:highlight w:val="yellow"/>
        </w:rPr>
        <w:t>The lowest wear rate (0.1908 mg/m) was obtained for 1</w:t>
      </w:r>
      <w:r w:rsidR="005126D6" w:rsidRPr="00AB1DE9">
        <w:rPr>
          <w:highlight w:val="yellow"/>
        </w:rPr>
        <w:t>8</w:t>
      </w:r>
      <w:r w:rsidR="00AB1DE9" w:rsidRPr="00AB1DE9">
        <w:rPr>
          <w:highlight w:val="yellow"/>
        </w:rPr>
        <w:t> % dilution.</w:t>
      </w:r>
      <w:r w:rsidR="00E80CBB" w:rsidRPr="00AB1DE9">
        <w:rPr>
          <w:highlight w:val="yellow"/>
        </w:rPr>
        <w:t xml:space="preserve"> </w:t>
      </w:r>
      <w:r w:rsidR="00AB1DE9" w:rsidRPr="00AB1DE9">
        <w:rPr>
          <w:highlight w:val="yellow"/>
        </w:rPr>
        <w:t xml:space="preserve">The mass loss rate increased </w:t>
      </w:r>
      <w:r w:rsidR="00E26619">
        <w:rPr>
          <w:highlight w:val="yellow"/>
        </w:rPr>
        <w:t>to</w:t>
      </w:r>
      <w:r w:rsidR="00AB1DE9" w:rsidRPr="00AB1DE9">
        <w:rPr>
          <w:highlight w:val="yellow"/>
        </w:rPr>
        <w:t xml:space="preserve"> 0.2435 </w:t>
      </w:r>
      <w:r w:rsidR="00E26619">
        <w:rPr>
          <w:highlight w:val="yellow"/>
        </w:rPr>
        <w:t xml:space="preserve">and </w:t>
      </w:r>
      <w:r w:rsidR="00AB1DE9" w:rsidRPr="00AB1DE9">
        <w:rPr>
          <w:highlight w:val="yellow"/>
        </w:rPr>
        <w:t>0.2703 mg/m a</w:t>
      </w:r>
      <w:r w:rsidR="00E80CBB" w:rsidRPr="00AB1DE9">
        <w:rPr>
          <w:highlight w:val="yellow"/>
        </w:rPr>
        <w:t xml:space="preserve">s dilution </w:t>
      </w:r>
      <w:r w:rsidR="00AB1DE9" w:rsidRPr="00AB1DE9">
        <w:rPr>
          <w:highlight w:val="yellow"/>
        </w:rPr>
        <w:t xml:space="preserve">reached </w:t>
      </w:r>
      <w:r w:rsidR="005126D6" w:rsidRPr="00AB1DE9">
        <w:rPr>
          <w:highlight w:val="yellow"/>
        </w:rPr>
        <w:t>26</w:t>
      </w:r>
      <w:r w:rsidR="00E2229A" w:rsidRPr="00AB1DE9">
        <w:rPr>
          <w:highlight w:val="yellow"/>
        </w:rPr>
        <w:t xml:space="preserve"> and 38 %</w:t>
      </w:r>
      <w:r w:rsidR="00E80CBB" w:rsidRPr="00AB1DE9">
        <w:rPr>
          <w:highlight w:val="yellow"/>
        </w:rPr>
        <w:t>, respectively</w:t>
      </w:r>
      <w:r w:rsidR="00700762" w:rsidRPr="00AB1DE9">
        <w:rPr>
          <w:highlight w:val="yellow"/>
        </w:rPr>
        <w:t>.</w:t>
      </w:r>
      <w:r w:rsidR="00700762" w:rsidRPr="00FB44C4">
        <w:t xml:space="preserve"> </w:t>
      </w:r>
      <w:r w:rsidR="005D54E5" w:rsidRPr="00E26619">
        <w:rPr>
          <w:highlight w:val="yellow"/>
        </w:rPr>
        <w:t xml:space="preserve">Better wear </w:t>
      </w:r>
      <w:r w:rsidR="00E00868" w:rsidRPr="00E26619">
        <w:rPr>
          <w:highlight w:val="yellow"/>
        </w:rPr>
        <w:t xml:space="preserve">behavior </w:t>
      </w:r>
      <w:r w:rsidR="005D54E5" w:rsidRPr="00E26619">
        <w:rPr>
          <w:highlight w:val="yellow"/>
        </w:rPr>
        <w:t xml:space="preserve">can be </w:t>
      </w:r>
      <w:r w:rsidR="000330D3" w:rsidRPr="00E26619">
        <w:rPr>
          <w:highlight w:val="yellow"/>
        </w:rPr>
        <w:t xml:space="preserve">related </w:t>
      </w:r>
      <w:r w:rsidR="00E47F6D" w:rsidRPr="00E26619">
        <w:rPr>
          <w:highlight w:val="yellow"/>
        </w:rPr>
        <w:t>with the</w:t>
      </w:r>
      <w:r w:rsidR="00E00868" w:rsidRPr="00E26619">
        <w:rPr>
          <w:highlight w:val="yellow"/>
        </w:rPr>
        <w:t xml:space="preserve"> </w:t>
      </w:r>
      <w:r w:rsidR="00917D15" w:rsidRPr="00E26619">
        <w:rPr>
          <w:highlight w:val="yellow"/>
        </w:rPr>
        <w:t xml:space="preserve">volume fraction of </w:t>
      </w:r>
      <w:r w:rsidR="00E26619" w:rsidRPr="00E26619">
        <w:rPr>
          <w:highlight w:val="yellow"/>
        </w:rPr>
        <w:t xml:space="preserve">the </w:t>
      </w:r>
      <w:r w:rsidR="00700762" w:rsidRPr="00E26619">
        <w:rPr>
          <w:highlight w:val="yellow"/>
        </w:rPr>
        <w:t xml:space="preserve">eutectic lamellar </w:t>
      </w:r>
      <w:r w:rsidR="00E47F6D" w:rsidRPr="00E26619">
        <w:rPr>
          <w:highlight w:val="yellow"/>
        </w:rPr>
        <w:t>and</w:t>
      </w:r>
      <w:r>
        <w:rPr>
          <w:highlight w:val="yellow"/>
        </w:rPr>
        <w:t>,</w:t>
      </w:r>
      <w:r w:rsidR="00E47F6D" w:rsidRPr="00E26619">
        <w:rPr>
          <w:highlight w:val="yellow"/>
        </w:rPr>
        <w:t xml:space="preserve"> consequently</w:t>
      </w:r>
      <w:r>
        <w:rPr>
          <w:highlight w:val="yellow"/>
        </w:rPr>
        <w:t>,</w:t>
      </w:r>
      <w:r w:rsidR="00E47F6D" w:rsidRPr="00E26619">
        <w:rPr>
          <w:highlight w:val="yellow"/>
        </w:rPr>
        <w:t xml:space="preserve"> with the</w:t>
      </w:r>
      <w:r w:rsidR="00E26619" w:rsidRPr="00E26619">
        <w:rPr>
          <w:highlight w:val="yellow"/>
        </w:rPr>
        <w:t xml:space="preserve"> </w:t>
      </w:r>
      <w:r w:rsidR="00700762" w:rsidRPr="00E26619">
        <w:rPr>
          <w:highlight w:val="yellow"/>
        </w:rPr>
        <w:t>hard Laves phase</w:t>
      </w:r>
      <w:r w:rsidR="00344F1A" w:rsidRPr="00E26619">
        <w:rPr>
          <w:highlight w:val="yellow"/>
        </w:rPr>
        <w:t> </w:t>
      </w:r>
      <w:r w:rsidRPr="00DC2E92">
        <w:rPr>
          <w:highlight w:val="yellow"/>
        </w:rPr>
        <w:t xml:space="preserve">fraction </w:t>
      </w:r>
      <w:r w:rsidR="00054678" w:rsidRPr="00DC2E92">
        <w:rPr>
          <w:highlight w:val="yellow"/>
        </w:rPr>
        <w:t>(</w:t>
      </w:r>
      <w:r w:rsidR="00054678" w:rsidRPr="00E26619">
        <w:rPr>
          <w:highlight w:val="yellow"/>
        </w:rPr>
        <w:t xml:space="preserve">Ref </w:t>
      </w:r>
      <w:r w:rsidR="00700762" w:rsidRPr="00E26619">
        <w:rPr>
          <w:highlight w:val="yellow"/>
        </w:rPr>
        <w:t>6</w:t>
      </w:r>
      <w:r w:rsidR="00344F1A" w:rsidRPr="00E26619">
        <w:rPr>
          <w:highlight w:val="yellow"/>
        </w:rPr>
        <w:t>, 8</w:t>
      </w:r>
      <w:r w:rsidR="00702CB9" w:rsidRPr="00E26619">
        <w:rPr>
          <w:highlight w:val="yellow"/>
        </w:rPr>
        <w:t>, 9</w:t>
      </w:r>
      <w:r w:rsidR="00054678" w:rsidRPr="00E26619">
        <w:rPr>
          <w:highlight w:val="yellow"/>
        </w:rPr>
        <w:t>)</w:t>
      </w:r>
      <w:r w:rsidR="00700762" w:rsidRPr="00E26619">
        <w:rPr>
          <w:highlight w:val="yellow"/>
        </w:rPr>
        <w:t>.</w:t>
      </w:r>
    </w:p>
    <w:p w:rsidR="00700762" w:rsidRPr="00FB44C4" w:rsidRDefault="00E638B0" w:rsidP="002F425C">
      <w:pPr>
        <w:spacing w:line="480" w:lineRule="auto"/>
        <w:ind w:firstLine="708"/>
        <w:jc w:val="both"/>
      </w:pPr>
      <w:r w:rsidRPr="00DC2E92">
        <w:rPr>
          <w:highlight w:val="yellow"/>
        </w:rPr>
        <w:t xml:space="preserve">Chemical composition </w:t>
      </w:r>
      <w:r w:rsidR="00E26619" w:rsidRPr="00DC2E92">
        <w:rPr>
          <w:highlight w:val="yellow"/>
        </w:rPr>
        <w:t xml:space="preserve">displacement </w:t>
      </w:r>
      <w:r w:rsidR="00DC2E92">
        <w:rPr>
          <w:highlight w:val="yellow"/>
        </w:rPr>
        <w:t>t</w:t>
      </w:r>
      <w:r w:rsidR="00FC2DB8" w:rsidRPr="00E26619">
        <w:rPr>
          <w:highlight w:val="yellow"/>
        </w:rPr>
        <w:t>o hypoeutectic</w:t>
      </w:r>
      <w:r w:rsidR="00E26619" w:rsidRPr="00E26619">
        <w:rPr>
          <w:highlight w:val="yellow"/>
        </w:rPr>
        <w:t xml:space="preserve"> leaded to higher </w:t>
      </w:r>
      <w:r w:rsidR="00FC2DB8" w:rsidRPr="00E26619">
        <w:rPr>
          <w:highlight w:val="yellow"/>
        </w:rPr>
        <w:t xml:space="preserve">volume fraction of </w:t>
      </w:r>
      <w:r w:rsidR="00D57B3B" w:rsidRPr="00E26619">
        <w:rPr>
          <w:highlight w:val="yellow"/>
        </w:rPr>
        <w:t xml:space="preserve">Cobalt solid solution </w:t>
      </w:r>
      <w:r w:rsidR="00E2229A" w:rsidRPr="00E26619">
        <w:rPr>
          <w:highlight w:val="yellow"/>
        </w:rPr>
        <w:t xml:space="preserve">and higher Iron content on such phase, </w:t>
      </w:r>
      <w:r w:rsidR="00E26619" w:rsidRPr="00E26619">
        <w:rPr>
          <w:highlight w:val="yellow"/>
        </w:rPr>
        <w:t xml:space="preserve">inducing </w:t>
      </w:r>
      <w:r w:rsidR="00D57B3B" w:rsidRPr="00E26619">
        <w:rPr>
          <w:highlight w:val="yellow"/>
        </w:rPr>
        <w:t>poor wear performance</w:t>
      </w:r>
      <w:r w:rsidR="00E26619" w:rsidRPr="00E26619">
        <w:rPr>
          <w:highlight w:val="yellow"/>
        </w:rPr>
        <w:t xml:space="preserve">. </w:t>
      </w:r>
      <w:r w:rsidRPr="00DC2E92">
        <w:rPr>
          <w:highlight w:val="yellow"/>
        </w:rPr>
        <w:t>R</w:t>
      </w:r>
      <w:r w:rsidR="00E26619" w:rsidRPr="00DC2E92">
        <w:rPr>
          <w:highlight w:val="yellow"/>
        </w:rPr>
        <w:t>esult</w:t>
      </w:r>
      <w:r w:rsidRPr="00DC2E92">
        <w:rPr>
          <w:highlight w:val="yellow"/>
        </w:rPr>
        <w:t>s</w:t>
      </w:r>
      <w:r w:rsidR="00E26619" w:rsidRPr="00E26619">
        <w:rPr>
          <w:highlight w:val="yellow"/>
        </w:rPr>
        <w:t xml:space="preserve"> </w:t>
      </w:r>
      <w:r w:rsidR="00EB1A74" w:rsidRPr="00E26619">
        <w:rPr>
          <w:highlight w:val="yellow"/>
        </w:rPr>
        <w:t>follow</w:t>
      </w:r>
      <w:r w:rsidR="00E26619" w:rsidRPr="00E26619">
        <w:rPr>
          <w:highlight w:val="yellow"/>
        </w:rPr>
        <w:t>ed</w:t>
      </w:r>
      <w:r w:rsidR="00C26705" w:rsidRPr="00E26619">
        <w:rPr>
          <w:highlight w:val="yellow"/>
        </w:rPr>
        <w:t xml:space="preserve"> </w:t>
      </w:r>
      <w:r w:rsidR="00E26619" w:rsidRPr="00E26619">
        <w:rPr>
          <w:highlight w:val="yellow"/>
        </w:rPr>
        <w:t xml:space="preserve">the </w:t>
      </w:r>
      <w:r w:rsidR="00DC2E92">
        <w:rPr>
          <w:highlight w:val="yellow"/>
        </w:rPr>
        <w:t>previous reports</w:t>
      </w:r>
      <w:r w:rsidR="00C26705" w:rsidRPr="00E26619">
        <w:rPr>
          <w:highlight w:val="yellow"/>
        </w:rPr>
        <w:t xml:space="preserve"> obtained on</w:t>
      </w:r>
      <w:r w:rsidR="00EB1A74" w:rsidRPr="00E26619">
        <w:rPr>
          <w:highlight w:val="yellow"/>
        </w:rPr>
        <w:t xml:space="preserve"> </w:t>
      </w:r>
      <w:r w:rsidRPr="00DC2E92">
        <w:rPr>
          <w:highlight w:val="yellow"/>
        </w:rPr>
        <w:t>the</w:t>
      </w:r>
      <w:r w:rsidR="00EB1A74" w:rsidRPr="00DC2E92">
        <w:rPr>
          <w:highlight w:val="yellow"/>
        </w:rPr>
        <w:t xml:space="preserve"> </w:t>
      </w:r>
      <w:r w:rsidR="00EB1A74" w:rsidRPr="00E26619">
        <w:rPr>
          <w:highlight w:val="yellow"/>
        </w:rPr>
        <w:t xml:space="preserve">cast </w:t>
      </w:r>
      <w:proofErr w:type="spellStart"/>
      <w:r w:rsidR="00EB1A74" w:rsidRPr="00E26619">
        <w:rPr>
          <w:highlight w:val="yellow"/>
        </w:rPr>
        <w:t>CoCrMoSi</w:t>
      </w:r>
      <w:proofErr w:type="spellEnd"/>
      <w:r w:rsidR="00EB1A74" w:rsidRPr="00E26619">
        <w:rPr>
          <w:highlight w:val="yellow"/>
        </w:rPr>
        <w:t xml:space="preserve"> </w:t>
      </w:r>
      <w:r w:rsidR="00E26619" w:rsidRPr="00E26619">
        <w:rPr>
          <w:highlight w:val="yellow"/>
        </w:rPr>
        <w:t xml:space="preserve">T400 </w:t>
      </w:r>
      <w:r w:rsidR="00EB1A74" w:rsidRPr="00E26619">
        <w:rPr>
          <w:highlight w:val="yellow"/>
        </w:rPr>
        <w:t>alloy</w:t>
      </w:r>
      <w:r w:rsidR="002B5024" w:rsidRPr="00E26619">
        <w:rPr>
          <w:highlight w:val="yellow"/>
        </w:rPr>
        <w:t xml:space="preserve"> </w:t>
      </w:r>
      <w:r w:rsidR="006D4072" w:rsidRPr="00E26619">
        <w:rPr>
          <w:highlight w:val="yellow"/>
        </w:rPr>
        <w:t xml:space="preserve">(Ref </w:t>
      </w:r>
      <w:r w:rsidR="002B5024" w:rsidRPr="00E26619">
        <w:rPr>
          <w:highlight w:val="yellow"/>
        </w:rPr>
        <w:t>12</w:t>
      </w:r>
      <w:r w:rsidR="006D4072" w:rsidRPr="00E26619">
        <w:rPr>
          <w:highlight w:val="yellow"/>
        </w:rPr>
        <w:t>)</w:t>
      </w:r>
      <w:r w:rsidR="00D57B3B" w:rsidRPr="00E26619">
        <w:rPr>
          <w:highlight w:val="yellow"/>
        </w:rPr>
        <w:t xml:space="preserve">. Dilution </w:t>
      </w:r>
      <w:r w:rsidR="00E26619" w:rsidRPr="00E26619">
        <w:rPr>
          <w:highlight w:val="yellow"/>
        </w:rPr>
        <w:t xml:space="preserve">increase </w:t>
      </w:r>
      <w:r w:rsidR="009931BC" w:rsidRPr="00E26619">
        <w:rPr>
          <w:highlight w:val="yellow"/>
        </w:rPr>
        <w:t xml:space="preserve">from </w:t>
      </w:r>
      <w:r w:rsidR="00D57B3B" w:rsidRPr="00E26619">
        <w:rPr>
          <w:highlight w:val="yellow"/>
        </w:rPr>
        <w:t>18 %</w:t>
      </w:r>
      <w:r w:rsidR="009931BC" w:rsidRPr="00E26619">
        <w:rPr>
          <w:highlight w:val="yellow"/>
        </w:rPr>
        <w:t xml:space="preserve"> to </w:t>
      </w:r>
      <w:r w:rsidR="00D57B3B" w:rsidRPr="00E26619">
        <w:rPr>
          <w:highlight w:val="yellow"/>
        </w:rPr>
        <w:t>2</w:t>
      </w:r>
      <w:r w:rsidR="00244ECA" w:rsidRPr="00E26619">
        <w:rPr>
          <w:highlight w:val="yellow"/>
        </w:rPr>
        <w:t>6</w:t>
      </w:r>
      <w:r w:rsidR="003F56E5" w:rsidRPr="00E26619">
        <w:rPr>
          <w:highlight w:val="yellow"/>
        </w:rPr>
        <w:t> %</w:t>
      </w:r>
      <w:r w:rsidR="00E2229A" w:rsidRPr="00E26619">
        <w:rPr>
          <w:highlight w:val="yellow"/>
        </w:rPr>
        <w:t xml:space="preserve"> </w:t>
      </w:r>
      <w:r w:rsidR="00E26619" w:rsidRPr="00E26619">
        <w:rPr>
          <w:highlight w:val="yellow"/>
        </w:rPr>
        <w:t>promoted</w:t>
      </w:r>
      <w:r w:rsidR="009931BC" w:rsidRPr="00E26619">
        <w:rPr>
          <w:highlight w:val="yellow"/>
        </w:rPr>
        <w:t xml:space="preserve"> </w:t>
      </w:r>
      <w:r w:rsidRPr="00DC2E92">
        <w:rPr>
          <w:highlight w:val="yellow"/>
        </w:rPr>
        <w:t xml:space="preserve">an increase of </w:t>
      </w:r>
      <w:r w:rsidR="00D57B3B" w:rsidRPr="00E26619">
        <w:rPr>
          <w:highlight w:val="yellow"/>
        </w:rPr>
        <w:t>27</w:t>
      </w:r>
      <w:r w:rsidR="00594325" w:rsidRPr="00E26619">
        <w:rPr>
          <w:highlight w:val="yellow"/>
        </w:rPr>
        <w:t>.</w:t>
      </w:r>
      <w:r w:rsidR="00E26619" w:rsidRPr="00E26619">
        <w:rPr>
          <w:highlight w:val="yellow"/>
        </w:rPr>
        <w:t>6 % on</w:t>
      </w:r>
      <w:r w:rsidR="00D57B3B" w:rsidRPr="00E26619">
        <w:rPr>
          <w:highlight w:val="yellow"/>
        </w:rPr>
        <w:t xml:space="preserve"> wear mass loss </w:t>
      </w:r>
      <w:r w:rsidR="00E26619" w:rsidRPr="00E26619">
        <w:rPr>
          <w:highlight w:val="yellow"/>
        </w:rPr>
        <w:t>rate</w:t>
      </w:r>
      <w:r w:rsidR="003F56E5" w:rsidRPr="00E26619">
        <w:rPr>
          <w:highlight w:val="yellow"/>
        </w:rPr>
        <w:t xml:space="preserve"> and</w:t>
      </w:r>
      <w:r w:rsidR="00E26619" w:rsidRPr="00E26619">
        <w:rPr>
          <w:highlight w:val="yellow"/>
        </w:rPr>
        <w:t>,</w:t>
      </w:r>
      <w:r w:rsidR="003F56E5" w:rsidRPr="00E26619">
        <w:rPr>
          <w:highlight w:val="yellow"/>
        </w:rPr>
        <w:t xml:space="preserve"> finally</w:t>
      </w:r>
      <w:r w:rsidR="00E26619" w:rsidRPr="00E26619">
        <w:rPr>
          <w:highlight w:val="yellow"/>
        </w:rPr>
        <w:t>,</w:t>
      </w:r>
      <w:r w:rsidR="00D57B3B" w:rsidRPr="00E26619">
        <w:rPr>
          <w:highlight w:val="yellow"/>
        </w:rPr>
        <w:t xml:space="preserve"> </w:t>
      </w:r>
      <w:r w:rsidR="009931BC" w:rsidRPr="00E26619">
        <w:rPr>
          <w:highlight w:val="yellow"/>
        </w:rPr>
        <w:t xml:space="preserve">38 % </w:t>
      </w:r>
      <w:r w:rsidR="00E26619" w:rsidRPr="00E26619">
        <w:rPr>
          <w:highlight w:val="yellow"/>
        </w:rPr>
        <w:t xml:space="preserve">dilution </w:t>
      </w:r>
      <w:r w:rsidR="00D57B3B" w:rsidRPr="00E26619">
        <w:rPr>
          <w:highlight w:val="yellow"/>
        </w:rPr>
        <w:t xml:space="preserve">resulted </w:t>
      </w:r>
      <w:r w:rsidR="00E26619" w:rsidRPr="00E26619">
        <w:rPr>
          <w:highlight w:val="yellow"/>
        </w:rPr>
        <w:t>increment of</w:t>
      </w:r>
      <w:r w:rsidR="00D57B3B" w:rsidRPr="00E26619">
        <w:rPr>
          <w:highlight w:val="yellow"/>
        </w:rPr>
        <w:t xml:space="preserve"> 41</w:t>
      </w:r>
      <w:r w:rsidR="00594325" w:rsidRPr="00E26619">
        <w:rPr>
          <w:highlight w:val="yellow"/>
        </w:rPr>
        <w:t>.</w:t>
      </w:r>
      <w:r w:rsidR="00D57B3B" w:rsidRPr="00E26619">
        <w:rPr>
          <w:highlight w:val="yellow"/>
        </w:rPr>
        <w:t xml:space="preserve">7 % on </w:t>
      </w:r>
      <w:r w:rsidR="00E26619" w:rsidRPr="00E26619">
        <w:rPr>
          <w:highlight w:val="yellow"/>
        </w:rPr>
        <w:t>wear rate</w:t>
      </w:r>
      <w:r w:rsidR="00BC16E0" w:rsidRPr="00E26619">
        <w:rPr>
          <w:highlight w:val="yellow"/>
        </w:rPr>
        <w:t>, Fig</w:t>
      </w:r>
      <w:r w:rsidR="006D4072" w:rsidRPr="00E26619">
        <w:rPr>
          <w:highlight w:val="yellow"/>
        </w:rPr>
        <w:t>.</w:t>
      </w:r>
      <w:r w:rsidR="00BC16E0" w:rsidRPr="00E26619">
        <w:rPr>
          <w:highlight w:val="yellow"/>
        </w:rPr>
        <w:t xml:space="preserve"> 8b</w:t>
      </w:r>
      <w:r w:rsidR="00700762" w:rsidRPr="00E26619">
        <w:rPr>
          <w:highlight w:val="yellow"/>
        </w:rPr>
        <w:t>.</w:t>
      </w:r>
      <w:r w:rsidR="00700762" w:rsidRPr="00FB44C4">
        <w:t xml:space="preserve"> </w:t>
      </w:r>
    </w:p>
    <w:p w:rsidR="00313FB5" w:rsidRDefault="00080AA5" w:rsidP="003C23AD">
      <w:pPr>
        <w:spacing w:line="480" w:lineRule="auto"/>
        <w:ind w:firstLine="708"/>
        <w:jc w:val="both"/>
      </w:pPr>
      <w:r w:rsidRPr="0053290D">
        <w:rPr>
          <w:highlight w:val="yellow"/>
        </w:rPr>
        <w:t xml:space="preserve">The </w:t>
      </w:r>
      <w:r w:rsidR="00133AA4" w:rsidRPr="0053290D">
        <w:rPr>
          <w:highlight w:val="yellow"/>
        </w:rPr>
        <w:t xml:space="preserve">eutectic microstructure developed </w:t>
      </w:r>
      <w:r w:rsidR="008034FE" w:rsidRPr="0053290D">
        <w:rPr>
          <w:highlight w:val="yellow"/>
        </w:rPr>
        <w:t xml:space="preserve">the </w:t>
      </w:r>
      <w:r w:rsidR="00133AA4" w:rsidRPr="0053290D">
        <w:rPr>
          <w:highlight w:val="yellow"/>
        </w:rPr>
        <w:t xml:space="preserve">lower friction coefficient </w:t>
      </w:r>
      <w:r w:rsidR="008034FE" w:rsidRPr="0053290D">
        <w:rPr>
          <w:highlight w:val="yellow"/>
        </w:rPr>
        <w:t>(</w:t>
      </w:r>
      <w:r w:rsidR="008034FE" w:rsidRPr="0053290D">
        <w:rPr>
          <w:highlight w:val="yellow"/>
        </w:rPr>
        <w:sym w:font="Symbol" w:char="F06D"/>
      </w:r>
      <w:r w:rsidR="002E6A51" w:rsidRPr="0053290D">
        <w:rPr>
          <w:highlight w:val="yellow"/>
        </w:rPr>
        <w:t> = 0</w:t>
      </w:r>
      <w:r w:rsidR="00594325" w:rsidRPr="0053290D">
        <w:rPr>
          <w:highlight w:val="yellow"/>
        </w:rPr>
        <w:t>.</w:t>
      </w:r>
      <w:r w:rsidR="002E6A51" w:rsidRPr="0053290D">
        <w:rPr>
          <w:highlight w:val="yellow"/>
        </w:rPr>
        <w:t>45</w:t>
      </w:r>
      <w:r w:rsidR="008034FE" w:rsidRPr="0053290D">
        <w:rPr>
          <w:highlight w:val="yellow"/>
        </w:rPr>
        <w:t xml:space="preserve">), while the mixture of Cobalt solid solution </w:t>
      </w:r>
      <w:r w:rsidR="006A16EC" w:rsidRPr="0053290D">
        <w:rPr>
          <w:highlight w:val="yellow"/>
        </w:rPr>
        <w:t xml:space="preserve">dendrites </w:t>
      </w:r>
      <w:r w:rsidR="00133AA4" w:rsidRPr="0053290D">
        <w:rPr>
          <w:highlight w:val="yellow"/>
        </w:rPr>
        <w:t>and</w:t>
      </w:r>
      <w:r w:rsidR="008034FE" w:rsidRPr="0053290D">
        <w:rPr>
          <w:highlight w:val="yellow"/>
        </w:rPr>
        <w:t xml:space="preserve"> </w:t>
      </w:r>
      <w:proofErr w:type="spellStart"/>
      <w:r w:rsidR="00487D6D" w:rsidRPr="0053290D">
        <w:rPr>
          <w:highlight w:val="yellow"/>
        </w:rPr>
        <w:t>interdendrictic</w:t>
      </w:r>
      <w:proofErr w:type="spellEnd"/>
      <w:r w:rsidR="00487D6D" w:rsidRPr="0053290D">
        <w:rPr>
          <w:highlight w:val="yellow"/>
        </w:rPr>
        <w:t xml:space="preserve"> </w:t>
      </w:r>
      <w:r w:rsidR="008034FE" w:rsidRPr="0053290D">
        <w:rPr>
          <w:highlight w:val="yellow"/>
        </w:rPr>
        <w:t xml:space="preserve">eutectic lamellar areas </w:t>
      </w:r>
      <w:r w:rsidR="002C371D" w:rsidRPr="0053290D">
        <w:rPr>
          <w:highlight w:val="yellow"/>
        </w:rPr>
        <w:t>presented</w:t>
      </w:r>
      <w:r w:rsidR="00133AA4" w:rsidRPr="0053290D">
        <w:rPr>
          <w:highlight w:val="yellow"/>
        </w:rPr>
        <w:t xml:space="preserve"> the</w:t>
      </w:r>
      <w:r w:rsidR="002C371D" w:rsidRPr="0053290D">
        <w:rPr>
          <w:highlight w:val="yellow"/>
        </w:rPr>
        <w:t xml:space="preserve"> hi</w:t>
      </w:r>
      <w:r w:rsidR="008034FE" w:rsidRPr="0053290D">
        <w:rPr>
          <w:highlight w:val="yellow"/>
        </w:rPr>
        <w:t>gher values (</w:t>
      </w:r>
      <w:r w:rsidR="008034FE" w:rsidRPr="0053290D">
        <w:rPr>
          <w:highlight w:val="yellow"/>
        </w:rPr>
        <w:sym w:font="Symbol" w:char="F06D"/>
      </w:r>
      <w:r w:rsidR="008034FE" w:rsidRPr="0053290D">
        <w:rPr>
          <w:highlight w:val="yellow"/>
        </w:rPr>
        <w:t> = 0</w:t>
      </w:r>
      <w:r w:rsidR="00594325" w:rsidRPr="0053290D">
        <w:rPr>
          <w:highlight w:val="yellow"/>
        </w:rPr>
        <w:t>.</w:t>
      </w:r>
      <w:r w:rsidR="008034FE" w:rsidRPr="0053290D">
        <w:rPr>
          <w:highlight w:val="yellow"/>
        </w:rPr>
        <w:t>90</w:t>
      </w:r>
      <w:r w:rsidR="002E6A51" w:rsidRPr="0053290D">
        <w:rPr>
          <w:highlight w:val="yellow"/>
        </w:rPr>
        <w:t xml:space="preserve"> and </w:t>
      </w:r>
      <w:r w:rsidR="002E6A51" w:rsidRPr="0053290D">
        <w:rPr>
          <w:highlight w:val="yellow"/>
        </w:rPr>
        <w:sym w:font="Symbol" w:char="F06D"/>
      </w:r>
      <w:r w:rsidR="002E6A51" w:rsidRPr="0053290D">
        <w:rPr>
          <w:highlight w:val="yellow"/>
        </w:rPr>
        <w:t> = 1</w:t>
      </w:r>
      <w:r w:rsidR="00594325" w:rsidRPr="0053290D">
        <w:rPr>
          <w:highlight w:val="yellow"/>
        </w:rPr>
        <w:t>.</w:t>
      </w:r>
      <w:r w:rsidR="002E6A51" w:rsidRPr="0053290D">
        <w:rPr>
          <w:highlight w:val="yellow"/>
        </w:rPr>
        <w:t>06</w:t>
      </w:r>
      <w:r w:rsidR="002C371D" w:rsidRPr="0053290D">
        <w:rPr>
          <w:highlight w:val="yellow"/>
        </w:rPr>
        <w:t>)</w:t>
      </w:r>
      <w:r w:rsidR="0097722A" w:rsidRPr="0053290D">
        <w:rPr>
          <w:highlight w:val="yellow"/>
        </w:rPr>
        <w:t>, Fig</w:t>
      </w:r>
      <w:r w:rsidR="008F590D" w:rsidRPr="0053290D">
        <w:rPr>
          <w:highlight w:val="yellow"/>
        </w:rPr>
        <w:t>.</w:t>
      </w:r>
      <w:r w:rsidR="006E5007" w:rsidRPr="0053290D">
        <w:rPr>
          <w:highlight w:val="yellow"/>
        </w:rPr>
        <w:t> </w:t>
      </w:r>
      <w:r w:rsidR="0097722A" w:rsidRPr="0053290D">
        <w:rPr>
          <w:highlight w:val="yellow"/>
        </w:rPr>
        <w:t>9.</w:t>
      </w:r>
      <w:r w:rsidR="0097722A">
        <w:t xml:space="preserve"> </w:t>
      </w:r>
      <w:r w:rsidR="008323B8">
        <w:t xml:space="preserve">Forged </w:t>
      </w:r>
      <w:proofErr w:type="spellStart"/>
      <w:r w:rsidR="0097722A">
        <w:t>Co</w:t>
      </w:r>
      <w:r w:rsidR="008323B8">
        <w:t>CrMo</w:t>
      </w:r>
      <w:proofErr w:type="spellEnd"/>
      <w:r w:rsidR="008323B8">
        <w:t xml:space="preserve"> alloy</w:t>
      </w:r>
      <w:r w:rsidR="0097722A">
        <w:t xml:space="preserve"> present</w:t>
      </w:r>
      <w:r w:rsidR="008323B8">
        <w:t>ed</w:t>
      </w:r>
      <w:r w:rsidR="0097722A">
        <w:t xml:space="preserve"> friction coefficient</w:t>
      </w:r>
      <w:r w:rsidR="00DF2189">
        <w:t xml:space="preserve"> </w:t>
      </w:r>
      <w:r w:rsidR="008F590D">
        <w:t>(</w:t>
      </w:r>
      <w:r w:rsidR="008F590D" w:rsidRPr="00FB44C4">
        <w:sym w:font="Symbol" w:char="F06D"/>
      </w:r>
      <w:r w:rsidR="008F590D">
        <w:t xml:space="preserve">) </w:t>
      </w:r>
      <w:r w:rsidR="0097722A">
        <w:t>varying from 1</w:t>
      </w:r>
      <w:r w:rsidR="00594325" w:rsidRPr="00594325">
        <w:rPr>
          <w:highlight w:val="yellow"/>
        </w:rPr>
        <w:t>.</w:t>
      </w:r>
      <w:r w:rsidR="0097722A">
        <w:t>0 and</w:t>
      </w:r>
      <w:r w:rsidR="009C47E6" w:rsidRPr="00FB44C4">
        <w:t xml:space="preserve"> </w:t>
      </w:r>
      <w:r w:rsidR="00045F4D" w:rsidRPr="00FB44C4">
        <w:t>1</w:t>
      </w:r>
      <w:r w:rsidR="00594325" w:rsidRPr="00594325">
        <w:rPr>
          <w:highlight w:val="yellow"/>
        </w:rPr>
        <w:t>.</w:t>
      </w:r>
      <w:r w:rsidR="00994B97" w:rsidRPr="00FB44C4">
        <w:t>1</w:t>
      </w:r>
      <w:r w:rsidR="00011C77" w:rsidRPr="00FB44C4">
        <w:t xml:space="preserve"> </w:t>
      </w:r>
      <w:r w:rsidR="005A3207" w:rsidRPr="00FB44C4">
        <w:t>against ceramic ball</w:t>
      </w:r>
      <w:r w:rsidR="00F70BB3">
        <w:t>,</w:t>
      </w:r>
      <w:r w:rsidR="00636E31">
        <w:t xml:space="preserve"> while </w:t>
      </w:r>
      <w:r w:rsidR="008323B8">
        <w:t>cast T400C</w:t>
      </w:r>
      <w:r w:rsidR="00636E31">
        <w:t xml:space="preserve"> alloy </w:t>
      </w:r>
      <w:r w:rsidR="008323B8">
        <w:t>presented</w:t>
      </w:r>
      <w:r w:rsidR="00DF2189">
        <w:t> </w:t>
      </w:r>
      <w:r w:rsidR="0097722A">
        <w:t>0</w:t>
      </w:r>
      <w:r w:rsidR="00594325" w:rsidRPr="00594325">
        <w:rPr>
          <w:highlight w:val="yellow"/>
        </w:rPr>
        <w:t>.</w:t>
      </w:r>
      <w:r w:rsidR="0097722A">
        <w:t>6</w:t>
      </w:r>
      <w:r w:rsidR="00DF2189" w:rsidRPr="00FB44C4">
        <w:t xml:space="preserve"> </w:t>
      </w:r>
      <w:r w:rsidR="008F590D">
        <w:t xml:space="preserve">(Ref </w:t>
      </w:r>
      <w:r w:rsidR="004A4FBD">
        <w:t>14</w:t>
      </w:r>
      <w:r w:rsidR="002B5024">
        <w:t>-</w:t>
      </w:r>
      <w:r w:rsidR="002830DA">
        <w:t>16</w:t>
      </w:r>
      <w:r w:rsidR="008F590D">
        <w:t>)</w:t>
      </w:r>
      <w:r w:rsidR="00B95ED1" w:rsidRPr="00FB44C4">
        <w:t>.</w:t>
      </w:r>
      <w:r w:rsidRPr="00FB44C4">
        <w:t xml:space="preserve"> </w:t>
      </w:r>
    </w:p>
    <w:p w:rsidR="0016572B" w:rsidRPr="00FB44C4" w:rsidRDefault="00E638B0" w:rsidP="003C23AD">
      <w:pPr>
        <w:spacing w:line="480" w:lineRule="auto"/>
        <w:ind w:firstLine="708"/>
        <w:jc w:val="both"/>
      </w:pPr>
      <w:r w:rsidRPr="00844B46">
        <w:rPr>
          <w:highlight w:val="yellow"/>
        </w:rPr>
        <w:t xml:space="preserve">Coatings </w:t>
      </w:r>
      <w:r w:rsidR="0053290D" w:rsidRPr="00844B46">
        <w:rPr>
          <w:highlight w:val="yellow"/>
        </w:rPr>
        <w:t>e</w:t>
      </w:r>
      <w:r w:rsidR="000946A9" w:rsidRPr="00844B46">
        <w:rPr>
          <w:highlight w:val="yellow"/>
        </w:rPr>
        <w:t xml:space="preserve">utectic </w:t>
      </w:r>
      <w:r w:rsidR="000946A9" w:rsidRPr="0053290D">
        <w:rPr>
          <w:highlight w:val="yellow"/>
        </w:rPr>
        <w:t xml:space="preserve">microstructure </w:t>
      </w:r>
      <w:r w:rsidR="0053290D" w:rsidRPr="0053290D">
        <w:rPr>
          <w:highlight w:val="yellow"/>
        </w:rPr>
        <w:t>showed that the</w:t>
      </w:r>
      <w:r w:rsidR="000946A9" w:rsidRPr="0053290D">
        <w:rPr>
          <w:highlight w:val="yellow"/>
        </w:rPr>
        <w:t xml:space="preserve"> wear debris </w:t>
      </w:r>
      <w:r w:rsidR="0053290D" w:rsidRPr="0053290D">
        <w:rPr>
          <w:highlight w:val="yellow"/>
        </w:rPr>
        <w:t xml:space="preserve">are a result of detaching </w:t>
      </w:r>
      <w:r w:rsidR="000946A9" w:rsidRPr="0053290D">
        <w:rPr>
          <w:highlight w:val="yellow"/>
        </w:rPr>
        <w:t xml:space="preserve">small lamellar areas of </w:t>
      </w:r>
      <w:r w:rsidR="00334199" w:rsidRPr="0053290D">
        <w:rPr>
          <w:highlight w:val="yellow"/>
        </w:rPr>
        <w:t xml:space="preserve">the </w:t>
      </w:r>
      <w:r w:rsidR="000946A9" w:rsidRPr="0053290D">
        <w:rPr>
          <w:highlight w:val="yellow"/>
        </w:rPr>
        <w:t xml:space="preserve">hard </w:t>
      </w:r>
      <w:proofErr w:type="spellStart"/>
      <w:r w:rsidR="000946A9" w:rsidRPr="0053290D">
        <w:rPr>
          <w:highlight w:val="yellow"/>
        </w:rPr>
        <w:t>intermetallic</w:t>
      </w:r>
      <w:proofErr w:type="spellEnd"/>
      <w:r w:rsidR="000946A9" w:rsidRPr="0053290D">
        <w:rPr>
          <w:highlight w:val="yellow"/>
        </w:rPr>
        <w:t xml:space="preserve"> Laves phase</w:t>
      </w:r>
      <w:r w:rsidR="00FC59E7" w:rsidRPr="0053290D">
        <w:rPr>
          <w:highlight w:val="yellow"/>
        </w:rPr>
        <w:t>, Fig</w:t>
      </w:r>
      <w:r w:rsidR="006E5007" w:rsidRPr="0053290D">
        <w:rPr>
          <w:highlight w:val="yellow"/>
        </w:rPr>
        <w:t>. </w:t>
      </w:r>
      <w:r w:rsidR="00FC59E7" w:rsidRPr="0053290D">
        <w:rPr>
          <w:highlight w:val="yellow"/>
        </w:rPr>
        <w:t>10</w:t>
      </w:r>
      <w:r w:rsidR="00B95ED1" w:rsidRPr="0053290D">
        <w:rPr>
          <w:highlight w:val="yellow"/>
        </w:rPr>
        <w:t>a</w:t>
      </w:r>
      <w:r w:rsidR="00596036" w:rsidRPr="0053290D">
        <w:rPr>
          <w:highlight w:val="yellow"/>
        </w:rPr>
        <w:t xml:space="preserve">. </w:t>
      </w:r>
      <w:r w:rsidR="00802516" w:rsidRPr="0053290D">
        <w:rPr>
          <w:highlight w:val="yellow"/>
        </w:rPr>
        <w:t>T</w:t>
      </w:r>
      <w:r w:rsidR="000946A9" w:rsidRPr="0053290D">
        <w:rPr>
          <w:highlight w:val="yellow"/>
        </w:rPr>
        <w:t xml:space="preserve">he presence of </w:t>
      </w:r>
      <w:proofErr w:type="spellStart"/>
      <w:r w:rsidR="000946A9" w:rsidRPr="0053290D">
        <w:rPr>
          <w:highlight w:val="yellow"/>
        </w:rPr>
        <w:t>dendrictic</w:t>
      </w:r>
      <w:proofErr w:type="spellEnd"/>
      <w:r w:rsidR="000946A9" w:rsidRPr="0053290D">
        <w:rPr>
          <w:highlight w:val="yellow"/>
        </w:rPr>
        <w:t xml:space="preserve"> Cobalt solid solution areas induced higher </w:t>
      </w:r>
      <w:r w:rsidR="00E024A4" w:rsidRPr="0053290D">
        <w:rPr>
          <w:highlight w:val="yellow"/>
        </w:rPr>
        <w:t>mass loss rate</w:t>
      </w:r>
      <w:r w:rsidR="003C23AD" w:rsidRPr="0053290D">
        <w:rPr>
          <w:highlight w:val="yellow"/>
        </w:rPr>
        <w:t xml:space="preserve">. </w:t>
      </w:r>
      <w:r w:rsidR="000946A9" w:rsidRPr="0053290D">
        <w:rPr>
          <w:highlight w:val="yellow"/>
        </w:rPr>
        <w:t xml:space="preserve">Moreover, </w:t>
      </w:r>
      <w:r w:rsidR="00B95ED1" w:rsidRPr="0053290D">
        <w:rPr>
          <w:highlight w:val="yellow"/>
        </w:rPr>
        <w:t xml:space="preserve">the </w:t>
      </w:r>
      <w:r w:rsidR="000946A9" w:rsidRPr="0053290D">
        <w:rPr>
          <w:highlight w:val="yellow"/>
        </w:rPr>
        <w:t xml:space="preserve">Cobalt solid solution </w:t>
      </w:r>
      <w:r w:rsidR="00B95ED1" w:rsidRPr="0053290D">
        <w:rPr>
          <w:highlight w:val="yellow"/>
        </w:rPr>
        <w:t>free</w:t>
      </w:r>
      <w:r w:rsidR="006D7406">
        <w:rPr>
          <w:highlight w:val="yellow"/>
        </w:rPr>
        <w:t xml:space="preserve"> of Laves </w:t>
      </w:r>
      <w:r w:rsidR="00B95ED1" w:rsidRPr="0053290D">
        <w:rPr>
          <w:highlight w:val="yellow"/>
        </w:rPr>
        <w:t>changed detaching intensity</w:t>
      </w:r>
      <w:r w:rsidR="00844B46" w:rsidRPr="00844B46">
        <w:rPr>
          <w:highlight w:val="yellow"/>
        </w:rPr>
        <w:t xml:space="preserve"> </w:t>
      </w:r>
      <w:r w:rsidR="00B95ED1" w:rsidRPr="00195F5E">
        <w:rPr>
          <w:highlight w:val="yellow"/>
        </w:rPr>
        <w:t xml:space="preserve">because </w:t>
      </w:r>
      <w:r w:rsidRPr="00195F5E">
        <w:rPr>
          <w:highlight w:val="yellow"/>
        </w:rPr>
        <w:t xml:space="preserve">this phase does </w:t>
      </w:r>
      <w:r w:rsidR="000946A9" w:rsidRPr="00195F5E">
        <w:rPr>
          <w:highlight w:val="yellow"/>
        </w:rPr>
        <w:t xml:space="preserve">not support adequately the </w:t>
      </w:r>
      <w:proofErr w:type="spellStart"/>
      <w:r w:rsidRPr="00195F5E">
        <w:rPr>
          <w:highlight w:val="yellow"/>
        </w:rPr>
        <w:t>interdendrictic</w:t>
      </w:r>
      <w:proofErr w:type="spellEnd"/>
      <w:r w:rsidRPr="00195F5E">
        <w:rPr>
          <w:highlight w:val="yellow"/>
        </w:rPr>
        <w:t xml:space="preserve"> eutectic lamellar </w:t>
      </w:r>
      <w:r w:rsidR="000946A9" w:rsidRPr="00195F5E">
        <w:rPr>
          <w:highlight w:val="yellow"/>
        </w:rPr>
        <w:t>higher hardness</w:t>
      </w:r>
      <w:r w:rsidRPr="00195F5E">
        <w:rPr>
          <w:highlight w:val="yellow"/>
        </w:rPr>
        <w:t xml:space="preserve"> phase</w:t>
      </w:r>
      <w:r w:rsidR="000946A9" w:rsidRPr="00195F5E">
        <w:rPr>
          <w:highlight w:val="yellow"/>
        </w:rPr>
        <w:t xml:space="preserve">, which was worn out as large </w:t>
      </w:r>
      <w:r w:rsidR="00622F6C" w:rsidRPr="00195F5E">
        <w:rPr>
          <w:highlight w:val="yellow"/>
        </w:rPr>
        <w:t>debris</w:t>
      </w:r>
      <w:r w:rsidR="000946A9" w:rsidRPr="00195F5E">
        <w:rPr>
          <w:highlight w:val="yellow"/>
        </w:rPr>
        <w:t xml:space="preserve">, as observed on </w:t>
      </w:r>
      <w:r w:rsidR="003C23AD" w:rsidRPr="00195F5E">
        <w:rPr>
          <w:highlight w:val="yellow"/>
        </w:rPr>
        <w:t>sliding track</w:t>
      </w:r>
      <w:r w:rsidR="00B95ED1" w:rsidRPr="00195F5E">
        <w:rPr>
          <w:highlight w:val="yellow"/>
        </w:rPr>
        <w:t xml:space="preserve"> </w:t>
      </w:r>
      <w:r w:rsidR="003C23AD" w:rsidRPr="00195F5E">
        <w:rPr>
          <w:highlight w:val="yellow"/>
        </w:rPr>
        <w:t>of</w:t>
      </w:r>
      <w:r w:rsidR="000946A9" w:rsidRPr="00195F5E">
        <w:rPr>
          <w:highlight w:val="yellow"/>
        </w:rPr>
        <w:t xml:space="preserve"> </w:t>
      </w:r>
      <w:r w:rsidR="00251996" w:rsidRPr="00195F5E">
        <w:rPr>
          <w:highlight w:val="yellow"/>
        </w:rPr>
        <w:t xml:space="preserve">the </w:t>
      </w:r>
      <w:r w:rsidR="00B95ED1" w:rsidRPr="00195F5E">
        <w:rPr>
          <w:highlight w:val="yellow"/>
        </w:rPr>
        <w:t>bal</w:t>
      </w:r>
      <w:r w:rsidR="00FC59E7" w:rsidRPr="00195F5E">
        <w:rPr>
          <w:highlight w:val="yellow"/>
        </w:rPr>
        <w:t>l-on-flat test, Fig</w:t>
      </w:r>
      <w:r w:rsidR="006E5007" w:rsidRPr="00195F5E">
        <w:rPr>
          <w:highlight w:val="yellow"/>
        </w:rPr>
        <w:t>. </w:t>
      </w:r>
      <w:r w:rsidR="00FC59E7" w:rsidRPr="00195F5E">
        <w:rPr>
          <w:highlight w:val="yellow"/>
        </w:rPr>
        <w:t>10b and Fig</w:t>
      </w:r>
      <w:r w:rsidR="006E5007" w:rsidRPr="00195F5E">
        <w:rPr>
          <w:highlight w:val="yellow"/>
        </w:rPr>
        <w:t>. </w:t>
      </w:r>
      <w:r w:rsidR="00FC59E7" w:rsidRPr="00195F5E">
        <w:rPr>
          <w:highlight w:val="yellow"/>
        </w:rPr>
        <w:t>10</w:t>
      </w:r>
      <w:r w:rsidR="00B95ED1" w:rsidRPr="00195F5E">
        <w:rPr>
          <w:highlight w:val="yellow"/>
        </w:rPr>
        <w:t>c</w:t>
      </w:r>
      <w:r w:rsidR="000946A9" w:rsidRPr="00195F5E">
        <w:rPr>
          <w:highlight w:val="yellow"/>
        </w:rPr>
        <w:t>.</w:t>
      </w:r>
    </w:p>
    <w:p w:rsidR="00DB7E11" w:rsidRPr="004D1304" w:rsidRDefault="003250E0" w:rsidP="0013628A">
      <w:pPr>
        <w:spacing w:line="480" w:lineRule="auto"/>
        <w:jc w:val="both"/>
      </w:pPr>
      <w:r>
        <w:tab/>
      </w:r>
      <w:r w:rsidR="00195F5E" w:rsidRPr="004D1304">
        <w:rPr>
          <w:highlight w:val="yellow"/>
        </w:rPr>
        <w:t>T</w:t>
      </w:r>
      <w:r w:rsidRPr="004D1304">
        <w:rPr>
          <w:highlight w:val="yellow"/>
        </w:rPr>
        <w:t>he interaction</w:t>
      </w:r>
      <w:r w:rsidR="00BA3210" w:rsidRPr="004D1304">
        <w:rPr>
          <w:highlight w:val="yellow"/>
        </w:rPr>
        <w:t xml:space="preserve"> with the </w:t>
      </w:r>
      <w:r w:rsidRPr="004D1304">
        <w:rPr>
          <w:highlight w:val="yellow"/>
        </w:rPr>
        <w:t xml:space="preserve">substrate </w:t>
      </w:r>
      <w:r w:rsidR="00E638B0" w:rsidRPr="004D1304">
        <w:rPr>
          <w:highlight w:val="yellow"/>
        </w:rPr>
        <w:t xml:space="preserve">by </w:t>
      </w:r>
      <w:r w:rsidR="00455915" w:rsidRPr="004D1304">
        <w:rPr>
          <w:highlight w:val="yellow"/>
        </w:rPr>
        <w:t xml:space="preserve">PTA </w:t>
      </w:r>
      <w:r w:rsidRPr="004D1304">
        <w:rPr>
          <w:highlight w:val="yellow"/>
        </w:rPr>
        <w:t xml:space="preserve">processing </w:t>
      </w:r>
      <w:r w:rsidR="00251996" w:rsidRPr="004D1304">
        <w:rPr>
          <w:highlight w:val="yellow"/>
        </w:rPr>
        <w:t>altered</w:t>
      </w:r>
      <w:r w:rsidR="00BA3210" w:rsidRPr="004D1304">
        <w:rPr>
          <w:highlight w:val="yellow"/>
        </w:rPr>
        <w:t xml:space="preserve"> significantly </w:t>
      </w:r>
      <w:r w:rsidR="00E638B0" w:rsidRPr="004D1304">
        <w:rPr>
          <w:highlight w:val="yellow"/>
        </w:rPr>
        <w:t xml:space="preserve">coatings </w:t>
      </w:r>
      <w:r w:rsidR="00BA3210" w:rsidRPr="004D1304">
        <w:rPr>
          <w:highlight w:val="yellow"/>
        </w:rPr>
        <w:t xml:space="preserve">chemical composition. </w:t>
      </w:r>
      <w:r w:rsidR="001D7AE2" w:rsidRPr="004D1304">
        <w:rPr>
          <w:highlight w:val="yellow"/>
        </w:rPr>
        <w:t xml:space="preserve">It </w:t>
      </w:r>
      <w:r w:rsidR="00BA3210" w:rsidRPr="004D1304">
        <w:rPr>
          <w:highlight w:val="yellow"/>
        </w:rPr>
        <w:t xml:space="preserve">displaced the composition from hypereutectic to eutectic or hypoeutectic, depending </w:t>
      </w:r>
      <w:r w:rsidR="00B07694" w:rsidRPr="004D1304">
        <w:rPr>
          <w:highlight w:val="yellow"/>
        </w:rPr>
        <w:t xml:space="preserve">on </w:t>
      </w:r>
      <w:r w:rsidR="00251996" w:rsidRPr="004D1304">
        <w:rPr>
          <w:highlight w:val="yellow"/>
        </w:rPr>
        <w:t>dilution</w:t>
      </w:r>
      <w:r w:rsidR="00E638B0" w:rsidRPr="004D1304">
        <w:rPr>
          <w:highlight w:val="yellow"/>
        </w:rPr>
        <w:t xml:space="preserve"> degree</w:t>
      </w:r>
      <w:r w:rsidR="00BA3210" w:rsidRPr="004D1304">
        <w:rPr>
          <w:highlight w:val="yellow"/>
        </w:rPr>
        <w:t xml:space="preserve">. The </w:t>
      </w:r>
      <w:r w:rsidR="00E638B0" w:rsidRPr="004D1304">
        <w:rPr>
          <w:highlight w:val="yellow"/>
        </w:rPr>
        <w:t xml:space="preserve">Laves phase </w:t>
      </w:r>
      <w:r w:rsidR="00BA3210" w:rsidRPr="004D1304">
        <w:rPr>
          <w:highlight w:val="yellow"/>
        </w:rPr>
        <w:t>volume fraction</w:t>
      </w:r>
      <w:r w:rsidR="00BB4418">
        <w:rPr>
          <w:highlight w:val="yellow"/>
        </w:rPr>
        <w:t xml:space="preserve"> and Cobalt </w:t>
      </w:r>
      <w:r w:rsidR="00BB4418">
        <w:rPr>
          <w:highlight w:val="yellow"/>
        </w:rPr>
        <w:lastRenderedPageBreak/>
        <w:t>solid solution alloying</w:t>
      </w:r>
      <w:r w:rsidR="00BA3210" w:rsidRPr="004D1304">
        <w:rPr>
          <w:highlight w:val="yellow"/>
        </w:rPr>
        <w:t xml:space="preserve"> dictated </w:t>
      </w:r>
      <w:r w:rsidR="00455915" w:rsidRPr="004D1304">
        <w:rPr>
          <w:highlight w:val="yellow"/>
        </w:rPr>
        <w:t xml:space="preserve">coatings </w:t>
      </w:r>
      <w:r w:rsidR="00464391" w:rsidRPr="004D1304">
        <w:rPr>
          <w:highlight w:val="yellow"/>
        </w:rPr>
        <w:t>hardness</w:t>
      </w:r>
      <w:r w:rsidR="00BA3210" w:rsidRPr="004D1304">
        <w:rPr>
          <w:highlight w:val="yellow"/>
        </w:rPr>
        <w:t xml:space="preserve">. </w:t>
      </w:r>
      <w:r w:rsidR="00E638B0" w:rsidRPr="004D1304">
        <w:rPr>
          <w:highlight w:val="yellow"/>
        </w:rPr>
        <w:t xml:space="preserve">Therefore, </w:t>
      </w:r>
      <w:r w:rsidR="00116FFB" w:rsidRPr="004D1304">
        <w:rPr>
          <w:highlight w:val="yellow"/>
        </w:rPr>
        <w:t xml:space="preserve">the </w:t>
      </w:r>
      <w:r w:rsidR="00BA3210" w:rsidRPr="004D1304">
        <w:rPr>
          <w:highlight w:val="yellow"/>
        </w:rPr>
        <w:t xml:space="preserve">wear behavior was </w:t>
      </w:r>
      <w:r w:rsidR="001D7AE2" w:rsidRPr="004D1304">
        <w:rPr>
          <w:highlight w:val="yellow"/>
        </w:rPr>
        <w:t xml:space="preserve">influenced </w:t>
      </w:r>
      <w:r w:rsidR="0053290D" w:rsidRPr="004D1304">
        <w:rPr>
          <w:highlight w:val="yellow"/>
        </w:rPr>
        <w:t xml:space="preserve">showing </w:t>
      </w:r>
      <w:r w:rsidR="00E638B0" w:rsidRPr="004D1304">
        <w:rPr>
          <w:highlight w:val="yellow"/>
        </w:rPr>
        <w:t xml:space="preserve">an increase on </w:t>
      </w:r>
      <w:r w:rsidR="00BA3210" w:rsidRPr="004D1304">
        <w:rPr>
          <w:highlight w:val="yellow"/>
        </w:rPr>
        <w:t>mass loss ra</w:t>
      </w:r>
      <w:r w:rsidR="00464391" w:rsidRPr="004D1304">
        <w:rPr>
          <w:highlight w:val="yellow"/>
        </w:rPr>
        <w:t xml:space="preserve">te </w:t>
      </w:r>
      <w:r w:rsidR="004D1304">
        <w:rPr>
          <w:highlight w:val="yellow"/>
        </w:rPr>
        <w:t xml:space="preserve">as well as on </w:t>
      </w:r>
      <w:r w:rsidR="00464391" w:rsidRPr="004D1304">
        <w:rPr>
          <w:highlight w:val="yellow"/>
        </w:rPr>
        <w:t>friction coefficient.</w:t>
      </w:r>
    </w:p>
    <w:p w:rsidR="00C911E5" w:rsidRDefault="00C911E5" w:rsidP="004D1304">
      <w:pPr>
        <w:spacing w:line="480" w:lineRule="auto"/>
      </w:pPr>
    </w:p>
    <w:p w:rsidR="00B07694" w:rsidRDefault="00B07694" w:rsidP="004D1304">
      <w:pPr>
        <w:spacing w:line="480" w:lineRule="auto"/>
      </w:pPr>
    </w:p>
    <w:p w:rsidR="006C75EB" w:rsidRPr="00FB44C4" w:rsidRDefault="000C7621" w:rsidP="007A3EE6">
      <w:pPr>
        <w:spacing w:line="480" w:lineRule="auto"/>
        <w:jc w:val="both"/>
        <w:rPr>
          <w:b/>
        </w:rPr>
      </w:pPr>
      <w:r>
        <w:rPr>
          <w:b/>
        </w:rPr>
        <w:t>4. Conclusions</w:t>
      </w:r>
    </w:p>
    <w:p w:rsidR="006C75EB" w:rsidRPr="00FB44C4" w:rsidRDefault="00407582" w:rsidP="00B37FFE">
      <w:pPr>
        <w:spacing w:line="480" w:lineRule="auto"/>
        <w:ind w:firstLine="300"/>
        <w:jc w:val="both"/>
      </w:pPr>
      <w:r w:rsidRPr="00ED3A30">
        <w:rPr>
          <w:highlight w:val="yellow"/>
        </w:rPr>
        <w:t xml:space="preserve">This study analyzed the </w:t>
      </w:r>
      <w:r w:rsidR="007D20F7" w:rsidRPr="00ED3A30">
        <w:rPr>
          <w:highlight w:val="yellow"/>
        </w:rPr>
        <w:t xml:space="preserve">effect of </w:t>
      </w:r>
      <w:r w:rsidR="00ED3A30">
        <w:rPr>
          <w:highlight w:val="yellow"/>
        </w:rPr>
        <w:t xml:space="preserve">the </w:t>
      </w:r>
      <w:r w:rsidR="007D20F7" w:rsidRPr="00ED3A30">
        <w:rPr>
          <w:highlight w:val="yellow"/>
        </w:rPr>
        <w:t xml:space="preserve">interaction with the substrate on </w:t>
      </w:r>
      <w:r w:rsidR="00016316" w:rsidRPr="00ED3A30">
        <w:rPr>
          <w:highlight w:val="yellow"/>
        </w:rPr>
        <w:t>microstructure</w:t>
      </w:r>
      <w:r w:rsidR="006060ED" w:rsidRPr="00ED3A30">
        <w:rPr>
          <w:highlight w:val="yellow"/>
        </w:rPr>
        <w:t xml:space="preserve">, hardness </w:t>
      </w:r>
      <w:r w:rsidR="008523BC" w:rsidRPr="00ED3A30">
        <w:rPr>
          <w:highlight w:val="yellow"/>
        </w:rPr>
        <w:t>and</w:t>
      </w:r>
      <w:r w:rsidR="007C52AB" w:rsidRPr="00ED3A30">
        <w:rPr>
          <w:highlight w:val="yellow"/>
        </w:rPr>
        <w:t xml:space="preserve"> </w:t>
      </w:r>
      <w:r w:rsidR="008523BC" w:rsidRPr="00ED3A30">
        <w:rPr>
          <w:highlight w:val="yellow"/>
        </w:rPr>
        <w:t>we</w:t>
      </w:r>
      <w:r w:rsidR="007C52AB" w:rsidRPr="00ED3A30">
        <w:rPr>
          <w:highlight w:val="yellow"/>
        </w:rPr>
        <w:t xml:space="preserve">ar </w:t>
      </w:r>
      <w:r w:rsidR="00016316" w:rsidRPr="00ED3A30">
        <w:rPr>
          <w:highlight w:val="yellow"/>
        </w:rPr>
        <w:t xml:space="preserve">performance </w:t>
      </w:r>
      <w:r w:rsidRPr="00ED3A30">
        <w:rPr>
          <w:highlight w:val="yellow"/>
        </w:rPr>
        <w:t xml:space="preserve">of </w:t>
      </w:r>
      <w:r w:rsidR="000836BA" w:rsidRPr="00ED3A30">
        <w:rPr>
          <w:highlight w:val="yellow"/>
        </w:rPr>
        <w:t xml:space="preserve">the Co-based </w:t>
      </w:r>
      <w:r w:rsidR="00882A69" w:rsidRPr="00ED3A30">
        <w:rPr>
          <w:highlight w:val="yellow"/>
        </w:rPr>
        <w:t xml:space="preserve">T400 </w:t>
      </w:r>
      <w:r w:rsidR="000836BA" w:rsidRPr="00ED3A30">
        <w:rPr>
          <w:highlight w:val="yellow"/>
        </w:rPr>
        <w:t>alloy</w:t>
      </w:r>
      <w:r w:rsidR="00ED3A30" w:rsidRPr="00ED3A30">
        <w:rPr>
          <w:highlight w:val="yellow"/>
        </w:rPr>
        <w:t xml:space="preserve"> coatings by PTA</w:t>
      </w:r>
      <w:r w:rsidR="007D20F7" w:rsidRPr="00ED3A30">
        <w:rPr>
          <w:highlight w:val="yellow"/>
        </w:rPr>
        <w:t xml:space="preserve">. </w:t>
      </w:r>
      <w:r w:rsidR="00613BFD" w:rsidRPr="00ED3A30">
        <w:rPr>
          <w:highlight w:val="yellow"/>
        </w:rPr>
        <w:t>T</w:t>
      </w:r>
      <w:r w:rsidR="006C75EB" w:rsidRPr="00ED3A30">
        <w:rPr>
          <w:highlight w:val="yellow"/>
        </w:rPr>
        <w:t xml:space="preserve">he main contributions </w:t>
      </w:r>
      <w:r w:rsidR="00016316" w:rsidRPr="00ED3A30">
        <w:rPr>
          <w:highlight w:val="yellow"/>
        </w:rPr>
        <w:t>are presented as follows:</w:t>
      </w:r>
    </w:p>
    <w:p w:rsidR="004276FF" w:rsidRDefault="006F628E" w:rsidP="007A3EE6">
      <w:pPr>
        <w:numPr>
          <w:ilvl w:val="0"/>
          <w:numId w:val="4"/>
        </w:numPr>
        <w:spacing w:line="480" w:lineRule="auto"/>
        <w:jc w:val="both"/>
      </w:pPr>
      <w:r w:rsidRPr="00FC7877">
        <w:rPr>
          <w:highlight w:val="yellow"/>
        </w:rPr>
        <w:t>T</w:t>
      </w:r>
      <w:r w:rsidR="004276FF" w:rsidRPr="00FC7877">
        <w:rPr>
          <w:highlight w:val="yellow"/>
        </w:rPr>
        <w:t>he i</w:t>
      </w:r>
      <w:r w:rsidR="00DD73CE" w:rsidRPr="00FC7877">
        <w:rPr>
          <w:highlight w:val="yellow"/>
        </w:rPr>
        <w:t>nteraction with the substrate</w:t>
      </w:r>
      <w:r w:rsidR="004276FF" w:rsidRPr="00FC7877">
        <w:rPr>
          <w:highlight w:val="yellow"/>
        </w:rPr>
        <w:t xml:space="preserve"> leaded</w:t>
      </w:r>
      <w:r w:rsidR="004276FF">
        <w:t xml:space="preserve"> to higher amount of </w:t>
      </w:r>
      <w:r w:rsidR="00B46ECF" w:rsidRPr="00FB44C4">
        <w:t>Iron</w:t>
      </w:r>
      <w:r w:rsidR="00BE430D">
        <w:t>-Chromium</w:t>
      </w:r>
      <w:r w:rsidR="00807B45">
        <w:t>-Nickel</w:t>
      </w:r>
      <w:r w:rsidR="00B46ECF" w:rsidRPr="00FB44C4">
        <w:t xml:space="preserve"> </w:t>
      </w:r>
      <w:r w:rsidR="00CC1672">
        <w:t xml:space="preserve">on coatings, </w:t>
      </w:r>
      <w:r w:rsidR="00E638B0" w:rsidRPr="00BB4418">
        <w:rPr>
          <w:highlight w:val="yellow"/>
        </w:rPr>
        <w:t>displacing</w:t>
      </w:r>
      <w:r w:rsidR="006D7D0C">
        <w:t xml:space="preserve"> chemical composition </w:t>
      </w:r>
      <w:r w:rsidR="004858D9">
        <w:t xml:space="preserve">of </w:t>
      </w:r>
      <w:proofErr w:type="spellStart"/>
      <w:r w:rsidR="004858D9">
        <w:t>CoCrMoSi</w:t>
      </w:r>
      <w:proofErr w:type="spellEnd"/>
      <w:r w:rsidR="004858D9">
        <w:t xml:space="preserve"> alloy </w:t>
      </w:r>
      <w:r w:rsidR="00436255">
        <w:t xml:space="preserve">from hypereutectic </w:t>
      </w:r>
      <w:r w:rsidR="003E11AC">
        <w:t xml:space="preserve">to </w:t>
      </w:r>
      <w:r w:rsidR="00E72637" w:rsidRPr="00FB44C4">
        <w:t xml:space="preserve">eutectic </w:t>
      </w:r>
      <w:r w:rsidR="00700264">
        <w:t>or</w:t>
      </w:r>
      <w:r w:rsidR="003E11AC">
        <w:t xml:space="preserve"> </w:t>
      </w:r>
      <w:r w:rsidR="00E72637" w:rsidRPr="00FB44C4">
        <w:t>hypoeutectic</w:t>
      </w:r>
      <w:r w:rsidR="00585329">
        <w:t>.</w:t>
      </w:r>
    </w:p>
    <w:p w:rsidR="00FE5F55" w:rsidRPr="00BB4418" w:rsidRDefault="00855606" w:rsidP="007A3EE6">
      <w:pPr>
        <w:numPr>
          <w:ilvl w:val="0"/>
          <w:numId w:val="4"/>
        </w:numPr>
        <w:spacing w:line="480" w:lineRule="auto"/>
        <w:jc w:val="both"/>
        <w:rPr>
          <w:highlight w:val="yellow"/>
        </w:rPr>
      </w:pPr>
      <w:r w:rsidRPr="00BB4418">
        <w:rPr>
          <w:highlight w:val="yellow"/>
        </w:rPr>
        <w:t>The h</w:t>
      </w:r>
      <w:r w:rsidR="004276FF" w:rsidRPr="00BB4418">
        <w:rPr>
          <w:highlight w:val="yellow"/>
        </w:rPr>
        <w:t>igher</w:t>
      </w:r>
      <w:r w:rsidR="00FC7877" w:rsidRPr="00BB4418">
        <w:rPr>
          <w:highlight w:val="yellow"/>
        </w:rPr>
        <w:t xml:space="preserve"> interaction with the substrate</w:t>
      </w:r>
      <w:r w:rsidR="004276FF" w:rsidRPr="00BB4418">
        <w:rPr>
          <w:highlight w:val="yellow"/>
        </w:rPr>
        <w:t xml:space="preserve"> </w:t>
      </w:r>
      <w:r w:rsidRPr="00BB4418">
        <w:rPr>
          <w:highlight w:val="yellow"/>
        </w:rPr>
        <w:t xml:space="preserve">the </w:t>
      </w:r>
      <w:r w:rsidR="004276FF" w:rsidRPr="00BB4418">
        <w:rPr>
          <w:highlight w:val="yellow"/>
        </w:rPr>
        <w:t>lower coatings hardness</w:t>
      </w:r>
      <w:r w:rsidR="00BB4418" w:rsidRPr="00BB4418">
        <w:rPr>
          <w:highlight w:val="yellow"/>
        </w:rPr>
        <w:t xml:space="preserve"> </w:t>
      </w:r>
      <w:r w:rsidR="00E638B0" w:rsidRPr="00BB4418">
        <w:rPr>
          <w:highlight w:val="yellow"/>
        </w:rPr>
        <w:t xml:space="preserve">due to the </w:t>
      </w:r>
      <w:r w:rsidR="00ED3A30" w:rsidRPr="00BB4418">
        <w:rPr>
          <w:highlight w:val="yellow"/>
        </w:rPr>
        <w:t>reduction of</w:t>
      </w:r>
      <w:r w:rsidR="00BB4418" w:rsidRPr="00BB4418">
        <w:rPr>
          <w:highlight w:val="yellow"/>
        </w:rPr>
        <w:t xml:space="preserve"> </w:t>
      </w:r>
      <w:r w:rsidR="00E638B0" w:rsidRPr="00BB4418">
        <w:rPr>
          <w:highlight w:val="yellow"/>
        </w:rPr>
        <w:t xml:space="preserve">Laves phase </w:t>
      </w:r>
      <w:r w:rsidR="004276FF" w:rsidRPr="00BB4418">
        <w:rPr>
          <w:highlight w:val="yellow"/>
        </w:rPr>
        <w:t xml:space="preserve">volume fraction </w:t>
      </w:r>
      <w:r w:rsidR="00BE430D" w:rsidRPr="00BB4418">
        <w:rPr>
          <w:highlight w:val="yellow"/>
        </w:rPr>
        <w:t>and</w:t>
      </w:r>
      <w:r w:rsidR="004276FF" w:rsidRPr="00BB4418">
        <w:rPr>
          <w:highlight w:val="yellow"/>
        </w:rPr>
        <w:t xml:space="preserve"> </w:t>
      </w:r>
      <w:r w:rsidR="00E638B0" w:rsidRPr="00BB4418">
        <w:rPr>
          <w:highlight w:val="yellow"/>
        </w:rPr>
        <w:t xml:space="preserve">also </w:t>
      </w:r>
      <w:r w:rsidR="00ED3A30" w:rsidRPr="00BB4418">
        <w:rPr>
          <w:highlight w:val="yellow"/>
        </w:rPr>
        <w:t xml:space="preserve">Cobalt </w:t>
      </w:r>
      <w:r w:rsidR="00BE430D" w:rsidRPr="00BB4418">
        <w:rPr>
          <w:highlight w:val="yellow"/>
        </w:rPr>
        <w:t xml:space="preserve">solid solution </w:t>
      </w:r>
      <w:r w:rsidR="00BB4418" w:rsidRPr="00BB4418">
        <w:rPr>
          <w:highlight w:val="yellow"/>
        </w:rPr>
        <w:t>al</w:t>
      </w:r>
      <w:r w:rsidR="00BE430D" w:rsidRPr="00BB4418">
        <w:rPr>
          <w:highlight w:val="yellow"/>
        </w:rPr>
        <w:t>loying</w:t>
      </w:r>
      <w:r w:rsidR="00BB4418" w:rsidRPr="00BB4418">
        <w:rPr>
          <w:highlight w:val="yellow"/>
        </w:rPr>
        <w:t>.</w:t>
      </w:r>
    </w:p>
    <w:p w:rsidR="00A05F82" w:rsidRPr="00EF56D5" w:rsidRDefault="006D7D0C" w:rsidP="007A3EE6">
      <w:pPr>
        <w:numPr>
          <w:ilvl w:val="0"/>
          <w:numId w:val="4"/>
        </w:numPr>
        <w:spacing w:line="480" w:lineRule="auto"/>
        <w:jc w:val="both"/>
        <w:rPr>
          <w:highlight w:val="yellow"/>
        </w:rPr>
      </w:pPr>
      <w:r w:rsidRPr="00EF56D5">
        <w:rPr>
          <w:highlight w:val="yellow"/>
        </w:rPr>
        <w:t>H</w:t>
      </w:r>
      <w:r w:rsidR="00B26254" w:rsidRPr="00EF56D5">
        <w:rPr>
          <w:highlight w:val="yellow"/>
        </w:rPr>
        <w:t xml:space="preserve">ypoeutectic </w:t>
      </w:r>
      <w:r w:rsidR="00D954CD" w:rsidRPr="00EF56D5">
        <w:rPr>
          <w:highlight w:val="yellow"/>
        </w:rPr>
        <w:t xml:space="preserve">microstructure </w:t>
      </w:r>
      <w:r w:rsidRPr="00EF56D5">
        <w:rPr>
          <w:highlight w:val="yellow"/>
        </w:rPr>
        <w:t xml:space="preserve">presented </w:t>
      </w:r>
      <w:r w:rsidR="00EF56D5" w:rsidRPr="00EF56D5">
        <w:rPr>
          <w:highlight w:val="yellow"/>
        </w:rPr>
        <w:t xml:space="preserve">lower </w:t>
      </w:r>
      <w:r w:rsidR="00E638B0" w:rsidRPr="00EF56D5">
        <w:rPr>
          <w:highlight w:val="yellow"/>
        </w:rPr>
        <w:t xml:space="preserve">Laves phase </w:t>
      </w:r>
      <w:r w:rsidRPr="00EF56D5">
        <w:rPr>
          <w:highlight w:val="yellow"/>
        </w:rPr>
        <w:t xml:space="preserve">volume fraction and </w:t>
      </w:r>
      <w:r w:rsidR="00807B45" w:rsidRPr="00EF56D5">
        <w:rPr>
          <w:highlight w:val="yellow"/>
        </w:rPr>
        <w:t xml:space="preserve">solid solution </w:t>
      </w:r>
      <w:r w:rsidR="00EF56D5" w:rsidRPr="00EF56D5">
        <w:rPr>
          <w:highlight w:val="yellow"/>
        </w:rPr>
        <w:t>alloying,</w:t>
      </w:r>
      <w:r w:rsidR="00E638B0" w:rsidRPr="00EF56D5">
        <w:rPr>
          <w:highlight w:val="yellow"/>
        </w:rPr>
        <w:t xml:space="preserve"> leading to a</w:t>
      </w:r>
      <w:r w:rsidR="00D954CD" w:rsidRPr="00EF56D5">
        <w:rPr>
          <w:highlight w:val="yellow"/>
        </w:rPr>
        <w:t xml:space="preserve"> </w:t>
      </w:r>
      <w:r w:rsidR="00062C13" w:rsidRPr="00EF56D5">
        <w:rPr>
          <w:highlight w:val="yellow"/>
        </w:rPr>
        <w:t>poor</w:t>
      </w:r>
      <w:r w:rsidR="00E638B0" w:rsidRPr="00EF56D5">
        <w:rPr>
          <w:highlight w:val="yellow"/>
        </w:rPr>
        <w:t>er</w:t>
      </w:r>
      <w:r w:rsidR="00062C13" w:rsidRPr="00EF56D5">
        <w:rPr>
          <w:highlight w:val="yellow"/>
        </w:rPr>
        <w:t xml:space="preserve"> </w:t>
      </w:r>
      <w:r w:rsidR="00FE5F55" w:rsidRPr="00EF56D5">
        <w:rPr>
          <w:highlight w:val="yellow"/>
        </w:rPr>
        <w:t xml:space="preserve">wear performance of </w:t>
      </w:r>
      <w:r w:rsidR="00ED3A30" w:rsidRPr="00EF56D5">
        <w:rPr>
          <w:highlight w:val="yellow"/>
        </w:rPr>
        <w:t xml:space="preserve">the </w:t>
      </w:r>
      <w:proofErr w:type="spellStart"/>
      <w:r w:rsidR="00FE5F55" w:rsidRPr="00EF56D5">
        <w:rPr>
          <w:highlight w:val="yellow"/>
        </w:rPr>
        <w:t>CoCrMoSi</w:t>
      </w:r>
      <w:proofErr w:type="spellEnd"/>
      <w:r w:rsidR="00FE5F55" w:rsidRPr="00EF56D5">
        <w:rPr>
          <w:highlight w:val="yellow"/>
        </w:rPr>
        <w:t xml:space="preserve"> alloy coatings. </w:t>
      </w:r>
      <w:r w:rsidR="00E638B0" w:rsidRPr="00EF56D5">
        <w:rPr>
          <w:highlight w:val="yellow"/>
        </w:rPr>
        <w:t>D</w:t>
      </w:r>
      <w:r w:rsidR="00A05F82" w:rsidRPr="00EF56D5">
        <w:rPr>
          <w:highlight w:val="yellow"/>
        </w:rPr>
        <w:t xml:space="preserve">ifferences also affected negatively the friction coefficient and </w:t>
      </w:r>
      <w:r w:rsidR="00455915" w:rsidRPr="00EF56D5">
        <w:rPr>
          <w:highlight w:val="yellow"/>
        </w:rPr>
        <w:t xml:space="preserve">the </w:t>
      </w:r>
      <w:r w:rsidR="00A05F82" w:rsidRPr="00EF56D5">
        <w:rPr>
          <w:highlight w:val="yellow"/>
        </w:rPr>
        <w:t xml:space="preserve">intensity of </w:t>
      </w:r>
      <w:r w:rsidR="008C43E1" w:rsidRPr="00EF56D5">
        <w:rPr>
          <w:highlight w:val="yellow"/>
        </w:rPr>
        <w:t xml:space="preserve">the </w:t>
      </w:r>
      <w:r w:rsidR="004276FF" w:rsidRPr="00EF56D5">
        <w:rPr>
          <w:highlight w:val="yellow"/>
        </w:rPr>
        <w:t xml:space="preserve">wear </w:t>
      </w:r>
      <w:r w:rsidR="00A05F82" w:rsidRPr="00EF56D5">
        <w:rPr>
          <w:highlight w:val="yellow"/>
        </w:rPr>
        <w:t>detaching debris.</w:t>
      </w:r>
    </w:p>
    <w:p w:rsidR="00F70BB3" w:rsidRDefault="00F70BB3" w:rsidP="00F70BB3">
      <w:pPr>
        <w:numPr>
          <w:ilvl w:val="0"/>
          <w:numId w:val="4"/>
        </w:numPr>
        <w:spacing w:line="480" w:lineRule="auto"/>
        <w:jc w:val="both"/>
      </w:pPr>
      <w:r>
        <w:t xml:space="preserve">For the specific </w:t>
      </w:r>
      <w:proofErr w:type="spellStart"/>
      <w:r>
        <w:t>CoCrMoSi</w:t>
      </w:r>
      <w:proofErr w:type="spellEnd"/>
      <w:r>
        <w:t xml:space="preserve"> alloy system, </w:t>
      </w:r>
      <w:r w:rsidR="005130E3">
        <w:t xml:space="preserve">the </w:t>
      </w:r>
      <w:r>
        <w:t xml:space="preserve">interaction with the substrate can be </w:t>
      </w:r>
      <w:r w:rsidR="00157439" w:rsidRPr="00157439">
        <w:rPr>
          <w:highlight w:val="yellow"/>
        </w:rPr>
        <w:t>designed</w:t>
      </w:r>
      <w:r w:rsidR="00157439">
        <w:t xml:space="preserve"> </w:t>
      </w:r>
      <w:r>
        <w:t>to control</w:t>
      </w:r>
      <w:r w:rsidR="005130E3">
        <w:t xml:space="preserve"> </w:t>
      </w:r>
      <w:r w:rsidR="00E638B0" w:rsidRPr="00EF56D5">
        <w:rPr>
          <w:highlight w:val="yellow"/>
        </w:rPr>
        <w:t>coatings</w:t>
      </w:r>
      <w:r w:rsidR="00E638B0">
        <w:t xml:space="preserve"> </w:t>
      </w:r>
      <w:r w:rsidR="005130E3">
        <w:t xml:space="preserve">microstructure and </w:t>
      </w:r>
      <w:r w:rsidR="00B16769">
        <w:t xml:space="preserve">properties. </w:t>
      </w:r>
      <w:r w:rsidR="00686FAA">
        <w:t>Coatings p</w:t>
      </w:r>
      <w:r w:rsidR="008C43E1">
        <w:t xml:space="preserve">rocessing reduced </w:t>
      </w:r>
      <w:r w:rsidR="00B16769">
        <w:t>the</w:t>
      </w:r>
      <w:r w:rsidR="008C43E1">
        <w:t xml:space="preserve"> amount of </w:t>
      </w:r>
      <w:r w:rsidR="008C43E1" w:rsidRPr="00EF56D5">
        <w:rPr>
          <w:highlight w:val="yellow"/>
        </w:rPr>
        <w:t>alloying</w:t>
      </w:r>
      <w:r w:rsidR="00E638B0" w:rsidRPr="00EF56D5">
        <w:rPr>
          <w:highlight w:val="yellow"/>
        </w:rPr>
        <w:t xml:space="preserve"> elements</w:t>
      </w:r>
      <w:r w:rsidR="00B16769">
        <w:t xml:space="preserve">, </w:t>
      </w:r>
      <w:r w:rsidR="005130E3">
        <w:t xml:space="preserve">following the </w:t>
      </w:r>
      <w:r w:rsidR="00B16769">
        <w:t xml:space="preserve">principles </w:t>
      </w:r>
      <w:r w:rsidR="005130E3">
        <w:t>developed</w:t>
      </w:r>
      <w:r w:rsidR="007C6EC2">
        <w:t xml:space="preserve"> </w:t>
      </w:r>
      <w:r w:rsidR="00060A57">
        <w:t xml:space="preserve">to obtain higher </w:t>
      </w:r>
      <w:r w:rsidR="00B16769">
        <w:t xml:space="preserve">ductility </w:t>
      </w:r>
      <w:r w:rsidR="00157439">
        <w:t xml:space="preserve">cast </w:t>
      </w:r>
      <w:proofErr w:type="spellStart"/>
      <w:r w:rsidR="00157439">
        <w:t>T</w:t>
      </w:r>
      <w:r w:rsidR="00157439" w:rsidRPr="00157439">
        <w:rPr>
          <w:highlight w:val="yellow"/>
        </w:rPr>
        <w:t>ribal</w:t>
      </w:r>
      <w:r w:rsidR="007C6EC2" w:rsidRPr="00157439">
        <w:rPr>
          <w:highlight w:val="yellow"/>
        </w:rPr>
        <w:t>oy</w:t>
      </w:r>
      <w:proofErr w:type="spellEnd"/>
      <w:r w:rsidR="007C6EC2">
        <w:t xml:space="preserve"> a</w:t>
      </w:r>
      <w:r w:rsidR="005130E3">
        <w:t>lloys.</w:t>
      </w:r>
    </w:p>
    <w:p w:rsidR="00D730F5" w:rsidRDefault="00D730F5" w:rsidP="00D730F5">
      <w:pPr>
        <w:spacing w:line="480" w:lineRule="auto"/>
        <w:jc w:val="both"/>
      </w:pPr>
    </w:p>
    <w:p w:rsidR="00FA04AB" w:rsidRDefault="00FA04AB" w:rsidP="00D730F5">
      <w:pPr>
        <w:spacing w:line="480" w:lineRule="auto"/>
        <w:jc w:val="both"/>
      </w:pPr>
    </w:p>
    <w:p w:rsidR="00CD3260" w:rsidRPr="00CD3260" w:rsidRDefault="00CD3260" w:rsidP="00CD3260">
      <w:pPr>
        <w:jc w:val="both"/>
        <w:rPr>
          <w:b/>
          <w:lang w:val="pt-BR"/>
        </w:rPr>
      </w:pPr>
      <w:r w:rsidRPr="00CD3260">
        <w:rPr>
          <w:b/>
          <w:lang w:val="pt-BR"/>
        </w:rPr>
        <w:t xml:space="preserve">5. </w:t>
      </w:r>
      <w:proofErr w:type="spellStart"/>
      <w:r w:rsidRPr="00CD3260">
        <w:rPr>
          <w:b/>
          <w:lang w:val="pt-BR"/>
        </w:rPr>
        <w:t>References</w:t>
      </w:r>
      <w:proofErr w:type="spellEnd"/>
    </w:p>
    <w:p w:rsidR="00CD3260" w:rsidRPr="00CD3260" w:rsidRDefault="00CD3260" w:rsidP="00CD3260">
      <w:pPr>
        <w:spacing w:line="480" w:lineRule="auto"/>
        <w:jc w:val="both"/>
        <w:rPr>
          <w:lang w:val="pt-BR"/>
        </w:rPr>
      </w:pPr>
    </w:p>
    <w:p w:rsidR="00CD3260" w:rsidRPr="00FB44C4" w:rsidRDefault="00CD3260" w:rsidP="00CD3260">
      <w:pPr>
        <w:jc w:val="both"/>
      </w:pPr>
      <w:r w:rsidRPr="00FB44C4">
        <w:sym w:font="Symbol" w:char="F05B"/>
      </w:r>
      <w:r w:rsidRPr="00FB44C4">
        <w:rPr>
          <w:lang w:val="pt-BR"/>
        </w:rPr>
        <w:t>1</w:t>
      </w:r>
      <w:r w:rsidRPr="00FB44C4">
        <w:sym w:font="Symbol" w:char="F05D"/>
      </w:r>
      <w:r w:rsidRPr="00FB44C4">
        <w:rPr>
          <w:lang w:val="pt-BR"/>
        </w:rPr>
        <w:t xml:space="preserve"> R. H. Gonçalves, J. C. Dutra. </w:t>
      </w:r>
      <w:r w:rsidRPr="00FB44C4">
        <w:t xml:space="preserve">PTA-P Process - A Literature Review as Basis for Innovations. Part 1 of 2: Constructive Elements. </w:t>
      </w:r>
      <w:proofErr w:type="spellStart"/>
      <w:r w:rsidRPr="00FB44C4">
        <w:t>Soldag</w:t>
      </w:r>
      <w:proofErr w:type="spellEnd"/>
      <w:r>
        <w:t>.</w:t>
      </w:r>
      <w:r w:rsidRPr="00FB44C4">
        <w:t xml:space="preserve"> Insp</w:t>
      </w:r>
      <w:r>
        <w:t>.</w:t>
      </w:r>
      <w:r w:rsidRPr="00FB44C4">
        <w:t xml:space="preserve"> 17</w:t>
      </w:r>
      <w:r>
        <w:t xml:space="preserve"> (1), 2012,</w:t>
      </w:r>
      <w:r w:rsidRPr="00FB44C4">
        <w:t xml:space="preserve"> 076-085</w:t>
      </w:r>
      <w:r>
        <w:t>, In Portuguese</w:t>
      </w:r>
      <w:r w:rsidRPr="00FB44C4">
        <w:t>.</w:t>
      </w:r>
    </w:p>
    <w:p w:rsidR="00CD3260" w:rsidRPr="00FB44C4" w:rsidRDefault="00CD3260" w:rsidP="00CD3260">
      <w:pPr>
        <w:spacing w:line="480" w:lineRule="auto"/>
        <w:jc w:val="both"/>
      </w:pPr>
    </w:p>
    <w:p w:rsidR="00CD3260" w:rsidRPr="00FB44C4" w:rsidRDefault="00CD3260" w:rsidP="00CD3260">
      <w:pPr>
        <w:autoSpaceDE w:val="0"/>
        <w:autoSpaceDN w:val="0"/>
        <w:adjustRightInd w:val="0"/>
        <w:jc w:val="both"/>
      </w:pPr>
      <w:r w:rsidRPr="00FB44C4">
        <w:sym w:font="Symbol" w:char="F05B"/>
      </w:r>
      <w:r w:rsidRPr="003A4C9C">
        <w:t>2</w:t>
      </w:r>
      <w:r w:rsidRPr="00FB44C4">
        <w:sym w:font="Symbol" w:char="F05D"/>
      </w:r>
      <w:r w:rsidRPr="003A4C9C">
        <w:t xml:space="preserve"> M. J. </w:t>
      </w:r>
      <w:proofErr w:type="spellStart"/>
      <w:r w:rsidRPr="003A4C9C">
        <w:t>Donachie</w:t>
      </w:r>
      <w:proofErr w:type="spellEnd"/>
      <w:r w:rsidRPr="003A4C9C">
        <w:t xml:space="preserve">, S. J. </w:t>
      </w:r>
      <w:proofErr w:type="spellStart"/>
      <w:r w:rsidRPr="003A4C9C">
        <w:t>Donachie</w:t>
      </w:r>
      <w:proofErr w:type="spellEnd"/>
      <w:r w:rsidRPr="003A4C9C">
        <w:t xml:space="preserve">, </w:t>
      </w:r>
      <w:proofErr w:type="spellStart"/>
      <w:r w:rsidRPr="00FB44C4">
        <w:t>Superalloys</w:t>
      </w:r>
      <w:proofErr w:type="spellEnd"/>
      <w:r>
        <w:t>: A Technical Guide, Second ed., ASM International, Ohio, 2002, 25-38.</w:t>
      </w:r>
    </w:p>
    <w:p w:rsidR="00CD3260" w:rsidRDefault="00CD3260" w:rsidP="00CD3260">
      <w:pPr>
        <w:autoSpaceDE w:val="0"/>
        <w:autoSpaceDN w:val="0"/>
        <w:adjustRightInd w:val="0"/>
        <w:spacing w:line="480" w:lineRule="auto"/>
        <w:jc w:val="both"/>
      </w:pPr>
    </w:p>
    <w:p w:rsidR="00CD3260" w:rsidRPr="00FB44C4" w:rsidRDefault="00CD3260" w:rsidP="00CD3260">
      <w:pPr>
        <w:autoSpaceDE w:val="0"/>
        <w:autoSpaceDN w:val="0"/>
        <w:adjustRightInd w:val="0"/>
        <w:jc w:val="both"/>
      </w:pPr>
      <w:r w:rsidRPr="00FB44C4">
        <w:t>[3</w:t>
      </w:r>
      <w:r w:rsidRPr="00FB44C4">
        <w:sym w:font="Symbol" w:char="F05D"/>
      </w:r>
      <w:r w:rsidRPr="00FB44C4">
        <w:t xml:space="preserve"> H. Kim, B. Yoon, C. Lee. Sliding wear performance in molten Zn-A</w:t>
      </w:r>
      <w:r>
        <w:t xml:space="preserve">l bath of cobalt-based </w:t>
      </w:r>
      <w:proofErr w:type="spellStart"/>
      <w:r>
        <w:t>overlayer</w:t>
      </w:r>
      <w:r w:rsidRPr="00FB44C4">
        <w:t>s</w:t>
      </w:r>
      <w:proofErr w:type="spellEnd"/>
      <w:r w:rsidRPr="00FB44C4">
        <w:t xml:space="preserve"> produced by plasma transferred arc weld-surfacing. Wear. 254 </w:t>
      </w:r>
      <w:r>
        <w:t>(5-6), 2003,</w:t>
      </w:r>
      <w:r w:rsidRPr="00FB44C4">
        <w:t xml:space="preserve"> </w:t>
      </w:r>
      <w:r>
        <w:t>408-</w:t>
      </w:r>
      <w:r w:rsidRPr="00FB44C4">
        <w:t>414.</w:t>
      </w:r>
    </w:p>
    <w:p w:rsidR="00CD3260" w:rsidRPr="00FB44C4" w:rsidRDefault="00CD3260" w:rsidP="00CD3260">
      <w:pPr>
        <w:autoSpaceDE w:val="0"/>
        <w:autoSpaceDN w:val="0"/>
        <w:adjustRightInd w:val="0"/>
        <w:spacing w:line="480" w:lineRule="auto"/>
        <w:jc w:val="both"/>
      </w:pPr>
    </w:p>
    <w:p w:rsidR="00CD3260" w:rsidRPr="00FB44C4" w:rsidRDefault="00CD3260" w:rsidP="00CD3260">
      <w:pPr>
        <w:jc w:val="both"/>
      </w:pPr>
      <w:r w:rsidRPr="00FB44C4">
        <w:sym w:font="Symbol" w:char="F05B"/>
      </w:r>
      <w:r w:rsidRPr="0009135C">
        <w:t>4</w:t>
      </w:r>
      <w:r w:rsidRPr="00FB44C4">
        <w:sym w:font="Symbol" w:char="F05D"/>
      </w:r>
      <w:r w:rsidRPr="0009135C">
        <w:t xml:space="preserve"> Q. Y. </w:t>
      </w:r>
      <w:proofErr w:type="spellStart"/>
      <w:r w:rsidRPr="0009135C">
        <w:t>Hou</w:t>
      </w:r>
      <w:proofErr w:type="spellEnd"/>
      <w:r w:rsidRPr="0009135C">
        <w:t xml:space="preserve">, J. S. </w:t>
      </w:r>
      <w:proofErr w:type="spellStart"/>
      <w:r w:rsidRPr="0009135C">
        <w:t>Gao</w:t>
      </w:r>
      <w:proofErr w:type="spellEnd"/>
      <w:r w:rsidRPr="0009135C">
        <w:t xml:space="preserve">, F. Zhou. </w:t>
      </w:r>
      <w:r w:rsidRPr="00FB44C4">
        <w:t>Microstructure and wear characteristics of cobalt-based alloy deposited by plasma transferred arc weld surfacing. Surf</w:t>
      </w:r>
      <w:r>
        <w:t>. C</w:t>
      </w:r>
      <w:r w:rsidRPr="00FB44C4">
        <w:t>oat</w:t>
      </w:r>
      <w:r>
        <w:t>.</w:t>
      </w:r>
      <w:r w:rsidRPr="00FB44C4">
        <w:t xml:space="preserve"> Techn</w:t>
      </w:r>
      <w:r>
        <w:t>ol.</w:t>
      </w:r>
      <w:r w:rsidRPr="00FB44C4">
        <w:t xml:space="preserve"> 194 (</w:t>
      </w:r>
      <w:r>
        <w:t>2-3</w:t>
      </w:r>
      <w:r w:rsidRPr="00FB44C4">
        <w:t>)</w:t>
      </w:r>
      <w:r>
        <w:t>, 2005,</w:t>
      </w:r>
      <w:r w:rsidRPr="00FB44C4">
        <w:t xml:space="preserve"> 238-243.</w:t>
      </w:r>
    </w:p>
    <w:p w:rsidR="00CD3260" w:rsidRPr="00FB44C4" w:rsidRDefault="00CD3260" w:rsidP="00CD3260">
      <w:pPr>
        <w:spacing w:line="480" w:lineRule="auto"/>
        <w:jc w:val="both"/>
      </w:pPr>
    </w:p>
    <w:p w:rsidR="00CD3260" w:rsidRPr="00FB44C4" w:rsidRDefault="00CD3260" w:rsidP="00CD3260">
      <w:pPr>
        <w:jc w:val="both"/>
      </w:pPr>
      <w:r w:rsidRPr="00FB44C4">
        <w:sym w:font="Symbol" w:char="F05B"/>
      </w:r>
      <w:r w:rsidRPr="00484D12">
        <w:t>5</w:t>
      </w:r>
      <w:r w:rsidRPr="00FB44C4">
        <w:sym w:font="Symbol" w:char="F05D"/>
      </w:r>
      <w:r w:rsidRPr="00484D12">
        <w:t xml:space="preserve"> A. </w:t>
      </w:r>
      <w:proofErr w:type="spellStart"/>
      <w:r w:rsidRPr="00484D12">
        <w:t>Scheid</w:t>
      </w:r>
      <w:proofErr w:type="spellEnd"/>
      <w:r w:rsidRPr="00484D12">
        <w:t xml:space="preserve">, A. S. C. M. </w:t>
      </w:r>
      <w:proofErr w:type="spellStart"/>
      <w:r w:rsidRPr="00484D12">
        <w:t>D’Oliveira</w:t>
      </w:r>
      <w:proofErr w:type="spellEnd"/>
      <w:r w:rsidRPr="00484D12">
        <w:t>.</w:t>
      </w:r>
      <w:r w:rsidRPr="00484D12">
        <w:rPr>
          <w:color w:val="000000"/>
        </w:rPr>
        <w:t xml:space="preserve"> </w:t>
      </w:r>
      <w:r w:rsidRPr="00FB44C4">
        <w:t xml:space="preserve">Analysis of PTA </w:t>
      </w:r>
      <w:proofErr w:type="spellStart"/>
      <w:r w:rsidRPr="00FB44C4">
        <w:t>hardfacing</w:t>
      </w:r>
      <w:proofErr w:type="spellEnd"/>
      <w:r w:rsidRPr="00FB44C4">
        <w:t xml:space="preserve"> with </w:t>
      </w:r>
      <w:proofErr w:type="spellStart"/>
      <w:r w:rsidRPr="00FB44C4">
        <w:t>CoCrWC</w:t>
      </w:r>
      <w:proofErr w:type="spellEnd"/>
      <w:r w:rsidRPr="00FB44C4">
        <w:t xml:space="preserve"> and </w:t>
      </w:r>
      <w:proofErr w:type="spellStart"/>
      <w:r w:rsidRPr="00FB44C4">
        <w:t>CoCrMoSi</w:t>
      </w:r>
      <w:proofErr w:type="spellEnd"/>
      <w:r w:rsidRPr="00FB44C4">
        <w:t xml:space="preserve"> alloys. </w:t>
      </w:r>
      <w:proofErr w:type="spellStart"/>
      <w:r w:rsidRPr="00FB44C4">
        <w:t>Soldag</w:t>
      </w:r>
      <w:proofErr w:type="spellEnd"/>
      <w:r>
        <w:t>.</w:t>
      </w:r>
      <w:r w:rsidRPr="00FB44C4">
        <w:t xml:space="preserve"> Insp</w:t>
      </w:r>
      <w:r>
        <w:t>.</w:t>
      </w:r>
      <w:r w:rsidRPr="00FB44C4">
        <w:t xml:space="preserve"> 18</w:t>
      </w:r>
      <w:r>
        <w:t xml:space="preserve"> (4),</w:t>
      </w:r>
      <w:r w:rsidRPr="00FB44C4">
        <w:t xml:space="preserve"> </w:t>
      </w:r>
      <w:r>
        <w:t xml:space="preserve">2013, </w:t>
      </w:r>
      <w:r w:rsidRPr="00FB44C4">
        <w:t>322-328.</w:t>
      </w:r>
    </w:p>
    <w:p w:rsidR="00CD3260" w:rsidRPr="00FB44C4" w:rsidRDefault="00CD3260" w:rsidP="00CD3260">
      <w:pPr>
        <w:autoSpaceDE w:val="0"/>
        <w:autoSpaceDN w:val="0"/>
        <w:adjustRightInd w:val="0"/>
        <w:spacing w:line="480" w:lineRule="auto"/>
        <w:jc w:val="both"/>
      </w:pPr>
    </w:p>
    <w:p w:rsidR="00CD3260" w:rsidRPr="00FB44C4" w:rsidRDefault="00CD3260" w:rsidP="00CD3260">
      <w:pPr>
        <w:autoSpaceDE w:val="0"/>
        <w:autoSpaceDN w:val="0"/>
        <w:adjustRightInd w:val="0"/>
        <w:jc w:val="both"/>
      </w:pPr>
      <w:r w:rsidRPr="00FB44C4">
        <w:sym w:font="Symbol" w:char="F05B"/>
      </w:r>
      <w:r w:rsidRPr="0009135C">
        <w:t>6</w:t>
      </w:r>
      <w:r w:rsidRPr="00FB44C4">
        <w:sym w:font="Symbol" w:char="F05D"/>
      </w:r>
      <w:r w:rsidRPr="0009135C">
        <w:t xml:space="preserve"> F. </w:t>
      </w:r>
      <w:proofErr w:type="spellStart"/>
      <w:r w:rsidRPr="0009135C">
        <w:t>Gao</w:t>
      </w:r>
      <w:proofErr w:type="spellEnd"/>
      <w:r w:rsidRPr="0009135C">
        <w:t xml:space="preserve">, R. Liu, X. J. Wu. </w:t>
      </w:r>
      <w:proofErr w:type="spellStart"/>
      <w:r w:rsidRPr="00FB44C4">
        <w:t>Triballoy</w:t>
      </w:r>
      <w:proofErr w:type="spellEnd"/>
      <w:r w:rsidRPr="00FB44C4">
        <w:t xml:space="preserve"> alloy reinforced tin-bronze composite coating for journal bearing applications. Thin Solid Films. 519</w:t>
      </w:r>
      <w:r>
        <w:t>, 2011,</w:t>
      </w:r>
      <w:r w:rsidRPr="00FB44C4">
        <w:t xml:space="preserve"> 4809-4817.</w:t>
      </w:r>
    </w:p>
    <w:p w:rsidR="00CD3260" w:rsidRPr="00FB44C4" w:rsidRDefault="00CD3260" w:rsidP="00CD3260">
      <w:pPr>
        <w:spacing w:line="480" w:lineRule="auto"/>
        <w:jc w:val="both"/>
      </w:pPr>
    </w:p>
    <w:p w:rsidR="00CD3260" w:rsidRPr="00FB44C4" w:rsidRDefault="00CD3260" w:rsidP="00CD3260">
      <w:pPr>
        <w:jc w:val="both"/>
      </w:pPr>
      <w:r w:rsidRPr="00FB44C4">
        <w:t xml:space="preserve">[7] J. </w:t>
      </w:r>
      <w:proofErr w:type="spellStart"/>
      <w:r w:rsidRPr="00FB44C4">
        <w:t>Przybylowicz</w:t>
      </w:r>
      <w:proofErr w:type="spellEnd"/>
      <w:r w:rsidRPr="00FB44C4">
        <w:t xml:space="preserve">, J. </w:t>
      </w:r>
      <w:proofErr w:type="spellStart"/>
      <w:r w:rsidRPr="00FB44C4">
        <w:t>Kusinski</w:t>
      </w:r>
      <w:proofErr w:type="spellEnd"/>
      <w:r w:rsidRPr="00FB44C4">
        <w:t>. Laser Cladding and erosive wear of Co-Mo-Cr-Si coatings. Surf</w:t>
      </w:r>
      <w:r>
        <w:t>.</w:t>
      </w:r>
      <w:r w:rsidRPr="00FB44C4">
        <w:t xml:space="preserve"> Coat</w:t>
      </w:r>
      <w:r>
        <w:t>.</w:t>
      </w:r>
      <w:r w:rsidRPr="00FB44C4">
        <w:t xml:space="preserve"> Technol. 125</w:t>
      </w:r>
      <w:r>
        <w:t xml:space="preserve"> (1-3</w:t>
      </w:r>
      <w:r w:rsidRPr="00FB44C4">
        <w:t>)</w:t>
      </w:r>
      <w:r>
        <w:t>, 2000,</w:t>
      </w:r>
      <w:r w:rsidRPr="00FB44C4">
        <w:t xml:space="preserve"> 13-18.</w:t>
      </w:r>
    </w:p>
    <w:p w:rsidR="00CD3260" w:rsidRPr="00FB44C4" w:rsidRDefault="00CD3260" w:rsidP="00CD3260">
      <w:pPr>
        <w:spacing w:line="480" w:lineRule="auto"/>
        <w:jc w:val="both"/>
      </w:pPr>
    </w:p>
    <w:p w:rsidR="00CD3260" w:rsidRPr="00721196" w:rsidRDefault="00CD3260" w:rsidP="00CD3260">
      <w:pPr>
        <w:jc w:val="both"/>
        <w:rPr>
          <w:lang w:val="pt-BR"/>
        </w:rPr>
      </w:pPr>
      <w:r w:rsidRPr="00FB44C4">
        <w:sym w:font="Symbol" w:char="F05B"/>
      </w:r>
      <w:r w:rsidRPr="00484D12">
        <w:t>8</w:t>
      </w:r>
      <w:r w:rsidRPr="00FB44C4">
        <w:sym w:font="Symbol" w:char="F05D"/>
      </w:r>
      <w:r w:rsidRPr="00484D12">
        <w:t xml:space="preserve"> R. Liu, W. </w:t>
      </w:r>
      <w:proofErr w:type="spellStart"/>
      <w:r w:rsidRPr="00484D12">
        <w:t>Xu</w:t>
      </w:r>
      <w:proofErr w:type="spellEnd"/>
      <w:r w:rsidRPr="00484D12">
        <w:t xml:space="preserve">, M. X. Yao, P. C. </w:t>
      </w:r>
      <w:proofErr w:type="spellStart"/>
      <w:r w:rsidRPr="00484D12">
        <w:t>Patnaik</w:t>
      </w:r>
      <w:proofErr w:type="spellEnd"/>
      <w:r w:rsidRPr="00484D12">
        <w:t xml:space="preserve">, X. J. Wu. </w:t>
      </w:r>
      <w:r w:rsidRPr="00FB44C4">
        <w:t xml:space="preserve">A newly developed </w:t>
      </w:r>
      <w:proofErr w:type="spellStart"/>
      <w:r w:rsidRPr="00FB44C4">
        <w:t>Tribaloy</w:t>
      </w:r>
      <w:proofErr w:type="spellEnd"/>
      <w:r w:rsidRPr="00FB44C4">
        <w:t xml:space="preserve"> alloy with increased ductility. </w:t>
      </w:r>
      <w:proofErr w:type="spellStart"/>
      <w:r w:rsidRPr="00721196">
        <w:rPr>
          <w:lang w:val="pt-BR"/>
        </w:rPr>
        <w:t>Scripta</w:t>
      </w:r>
      <w:proofErr w:type="spellEnd"/>
      <w:r w:rsidRPr="00721196">
        <w:rPr>
          <w:lang w:val="pt-BR"/>
        </w:rPr>
        <w:t xml:space="preserve"> </w:t>
      </w:r>
      <w:proofErr w:type="spellStart"/>
      <w:r w:rsidRPr="00721196">
        <w:rPr>
          <w:lang w:val="pt-BR"/>
        </w:rPr>
        <w:t>Materialia</w:t>
      </w:r>
      <w:proofErr w:type="spellEnd"/>
      <w:r w:rsidRPr="00721196">
        <w:rPr>
          <w:lang w:val="pt-BR"/>
        </w:rPr>
        <w:t>. 53 (</w:t>
      </w:r>
      <w:r>
        <w:rPr>
          <w:lang w:val="pt-BR"/>
        </w:rPr>
        <w:t>12</w:t>
      </w:r>
      <w:r w:rsidRPr="00721196">
        <w:rPr>
          <w:lang w:val="pt-BR"/>
        </w:rPr>
        <w:t>)</w:t>
      </w:r>
      <w:r>
        <w:rPr>
          <w:lang w:val="pt-BR"/>
        </w:rPr>
        <w:t>, 2005,</w:t>
      </w:r>
      <w:r w:rsidRPr="00721196">
        <w:rPr>
          <w:lang w:val="pt-BR"/>
        </w:rPr>
        <w:t xml:space="preserve"> 1351-1355.  </w:t>
      </w:r>
    </w:p>
    <w:p w:rsidR="00CD3260" w:rsidRPr="00721196" w:rsidRDefault="00CD3260" w:rsidP="00CD3260">
      <w:pPr>
        <w:autoSpaceDE w:val="0"/>
        <w:autoSpaceDN w:val="0"/>
        <w:adjustRightInd w:val="0"/>
        <w:spacing w:line="480" w:lineRule="auto"/>
        <w:rPr>
          <w:lang w:val="pt-BR"/>
        </w:rPr>
      </w:pPr>
    </w:p>
    <w:p w:rsidR="00CD3260" w:rsidRPr="003C0E67" w:rsidRDefault="00CD3260" w:rsidP="00CD3260">
      <w:pPr>
        <w:autoSpaceDE w:val="0"/>
        <w:autoSpaceDN w:val="0"/>
        <w:adjustRightInd w:val="0"/>
        <w:jc w:val="both"/>
      </w:pPr>
      <w:r w:rsidRPr="00FB44C4">
        <w:sym w:font="Symbol" w:char="F05B"/>
      </w:r>
      <w:r>
        <w:rPr>
          <w:lang w:val="pt-BR"/>
        </w:rPr>
        <w:t>9</w:t>
      </w:r>
      <w:r w:rsidRPr="00FB44C4">
        <w:sym w:font="Symbol" w:char="F05D"/>
      </w:r>
      <w:r w:rsidRPr="003C0E67">
        <w:rPr>
          <w:lang w:val="pt-BR"/>
        </w:rPr>
        <w:t xml:space="preserve"> W. </w:t>
      </w:r>
      <w:proofErr w:type="spellStart"/>
      <w:r w:rsidRPr="003C0E67">
        <w:rPr>
          <w:lang w:val="pt-BR"/>
        </w:rPr>
        <w:t>Xu</w:t>
      </w:r>
      <w:proofErr w:type="spellEnd"/>
      <w:r w:rsidRPr="003C0E67">
        <w:rPr>
          <w:lang w:val="pt-BR"/>
        </w:rPr>
        <w:t xml:space="preserve">, R. Liu, P. C. </w:t>
      </w:r>
      <w:proofErr w:type="spellStart"/>
      <w:r w:rsidRPr="003C0E67">
        <w:rPr>
          <w:lang w:val="pt-BR"/>
        </w:rPr>
        <w:t>Patnaik</w:t>
      </w:r>
      <w:proofErr w:type="spellEnd"/>
      <w:r w:rsidRPr="003C0E67">
        <w:rPr>
          <w:lang w:val="pt-BR"/>
        </w:rPr>
        <w:t>, M.</w:t>
      </w:r>
      <w:r>
        <w:rPr>
          <w:lang w:val="pt-BR"/>
        </w:rPr>
        <w:t xml:space="preserve"> X. Yao, X. J. Wu. </w:t>
      </w:r>
      <w:r w:rsidRPr="003C0E67">
        <w:t xml:space="preserve">Mechanical and </w:t>
      </w:r>
      <w:proofErr w:type="spellStart"/>
      <w:r w:rsidRPr="003C0E67">
        <w:t>Tribological</w:t>
      </w:r>
      <w:proofErr w:type="spellEnd"/>
      <w:r w:rsidRPr="003C0E67">
        <w:t xml:space="preserve"> properties of newly developed </w:t>
      </w:r>
      <w:proofErr w:type="spellStart"/>
      <w:r w:rsidRPr="003C0E67">
        <w:t>Tribaloy</w:t>
      </w:r>
      <w:proofErr w:type="spellEnd"/>
      <w:r w:rsidRPr="003C0E67">
        <w:t xml:space="preserve"> alloys.</w:t>
      </w:r>
      <w:r>
        <w:t xml:space="preserve"> Mater. Sci. Eng. A. (452-453), 2007, 427-436.</w:t>
      </w:r>
    </w:p>
    <w:p w:rsidR="00CD3260" w:rsidRPr="00FB44C4" w:rsidRDefault="00CD3260" w:rsidP="00CD3260">
      <w:pPr>
        <w:spacing w:line="480" w:lineRule="auto"/>
        <w:jc w:val="both"/>
      </w:pPr>
    </w:p>
    <w:p w:rsidR="00CD3260" w:rsidRPr="00CB46B5" w:rsidRDefault="00CD3260" w:rsidP="00CD3260">
      <w:pPr>
        <w:jc w:val="both"/>
        <w:rPr>
          <w:lang w:val="pt-BR"/>
        </w:rPr>
      </w:pPr>
      <w:r w:rsidRPr="00FB44C4">
        <w:sym w:font="Symbol" w:char="F05B"/>
      </w:r>
      <w:r w:rsidRPr="0009135C">
        <w:t>10</w:t>
      </w:r>
      <w:r w:rsidRPr="00FB44C4">
        <w:sym w:font="Symbol" w:char="F05D"/>
      </w:r>
      <w:r w:rsidRPr="0009135C">
        <w:t xml:space="preserve"> R. H. </w:t>
      </w:r>
      <w:proofErr w:type="spellStart"/>
      <w:r w:rsidRPr="0009135C">
        <w:t>Gonçalves</w:t>
      </w:r>
      <w:proofErr w:type="spellEnd"/>
      <w:r w:rsidRPr="0009135C">
        <w:t xml:space="preserve"> , J. C. Dutra. </w:t>
      </w:r>
      <w:r w:rsidRPr="00FB44C4">
        <w:t xml:space="preserve">PTA-P Process - A Literature Review as Basis for Innovations. Part 2 of 2: Powder Thermal and Kinematic Behavior, Process Parameters and Consumables. </w:t>
      </w:r>
      <w:proofErr w:type="spellStart"/>
      <w:r w:rsidRPr="00CB46B5">
        <w:rPr>
          <w:lang w:val="pt-BR"/>
        </w:rPr>
        <w:t>Soldag</w:t>
      </w:r>
      <w:proofErr w:type="spellEnd"/>
      <w:r w:rsidRPr="00CB46B5">
        <w:rPr>
          <w:lang w:val="pt-BR"/>
        </w:rPr>
        <w:t xml:space="preserve">. </w:t>
      </w:r>
      <w:proofErr w:type="spellStart"/>
      <w:r w:rsidRPr="00CB46B5">
        <w:rPr>
          <w:lang w:val="pt-BR"/>
        </w:rPr>
        <w:t>Insp</w:t>
      </w:r>
      <w:proofErr w:type="spellEnd"/>
      <w:r w:rsidRPr="00CB46B5">
        <w:rPr>
          <w:lang w:val="pt-BR"/>
        </w:rPr>
        <w:t xml:space="preserve">. 17 (2), 2012, 173-183, in </w:t>
      </w:r>
      <w:proofErr w:type="spellStart"/>
      <w:r w:rsidRPr="00CB46B5">
        <w:rPr>
          <w:lang w:val="pt-BR"/>
        </w:rPr>
        <w:t>Portuguese</w:t>
      </w:r>
      <w:proofErr w:type="spellEnd"/>
      <w:r w:rsidRPr="00CB46B5">
        <w:rPr>
          <w:lang w:val="pt-BR"/>
        </w:rPr>
        <w:t>.</w:t>
      </w:r>
    </w:p>
    <w:p w:rsidR="00CD3260" w:rsidRPr="00CB46B5" w:rsidRDefault="00CD3260" w:rsidP="00CD3260">
      <w:pPr>
        <w:spacing w:line="480" w:lineRule="auto"/>
        <w:jc w:val="both"/>
        <w:rPr>
          <w:lang w:val="pt-BR"/>
        </w:rPr>
      </w:pPr>
    </w:p>
    <w:p w:rsidR="00CD3260" w:rsidRPr="007C6D11" w:rsidRDefault="00CD3260" w:rsidP="00CD3260">
      <w:pPr>
        <w:jc w:val="both"/>
      </w:pPr>
      <w:r w:rsidRPr="007C6D11">
        <w:sym w:font="Symbol" w:char="F05B"/>
      </w:r>
      <w:r w:rsidRPr="007C6D11">
        <w:rPr>
          <w:lang w:val="pt-BR"/>
        </w:rPr>
        <w:t>11</w:t>
      </w:r>
      <w:r w:rsidRPr="007C6D11">
        <w:sym w:font="Symbol" w:char="F05D"/>
      </w:r>
      <w:r w:rsidRPr="007C6D11">
        <w:rPr>
          <w:lang w:val="pt-BR"/>
        </w:rPr>
        <w:t xml:space="preserve"> T. J. </w:t>
      </w:r>
      <w:proofErr w:type="spellStart"/>
      <w:r w:rsidRPr="007C6D11">
        <w:rPr>
          <w:iCs/>
          <w:lang w:val="pt-BR"/>
        </w:rPr>
        <w:t>Antoszczyszyn</w:t>
      </w:r>
      <w:proofErr w:type="spellEnd"/>
      <w:r w:rsidRPr="007C6D11">
        <w:rPr>
          <w:lang w:val="pt-BR"/>
        </w:rPr>
        <w:t xml:space="preserve">, R. M. G. Paes, A. S. C. M. D’Oliveira, A. </w:t>
      </w:r>
      <w:proofErr w:type="spellStart"/>
      <w:r w:rsidRPr="007C6D11">
        <w:rPr>
          <w:lang w:val="pt-BR"/>
        </w:rPr>
        <w:t>Scheid</w:t>
      </w:r>
      <w:proofErr w:type="spellEnd"/>
      <w:r w:rsidRPr="007C6D11">
        <w:rPr>
          <w:lang w:val="pt-BR"/>
        </w:rPr>
        <w:t xml:space="preserve">. </w:t>
      </w:r>
      <w:r w:rsidRPr="007C6D11">
        <w:t>I</w:t>
      </w:r>
      <w:r w:rsidRPr="007C6D11">
        <w:rPr>
          <w:bCs/>
        </w:rPr>
        <w:t>mpact of dilution on the Microstructure and Properties of Ni-Based 625 Alloy Coatings</w:t>
      </w:r>
      <w:r w:rsidRPr="007C6D11">
        <w:t xml:space="preserve">. </w:t>
      </w:r>
      <w:proofErr w:type="spellStart"/>
      <w:r w:rsidRPr="007C6D11">
        <w:t>Soldag</w:t>
      </w:r>
      <w:proofErr w:type="spellEnd"/>
      <w:r w:rsidRPr="007C6D11">
        <w:t xml:space="preserve">. Insp. 19 </w:t>
      </w:r>
      <w:r>
        <w:t xml:space="preserve">(2), </w:t>
      </w:r>
      <w:r w:rsidRPr="007C6D11">
        <w:t>2014</w:t>
      </w:r>
      <w:r>
        <w:t xml:space="preserve">, </w:t>
      </w:r>
      <w:r w:rsidRPr="007C6D11">
        <w:t>134-144.</w:t>
      </w:r>
    </w:p>
    <w:p w:rsidR="00CD3260" w:rsidRPr="007C6D11" w:rsidRDefault="00CD3260" w:rsidP="00CD3260">
      <w:pPr>
        <w:autoSpaceDE w:val="0"/>
        <w:autoSpaceDN w:val="0"/>
        <w:adjustRightInd w:val="0"/>
        <w:spacing w:line="480" w:lineRule="auto"/>
        <w:jc w:val="both"/>
      </w:pPr>
    </w:p>
    <w:p w:rsidR="00CD3260" w:rsidRPr="00760F8F" w:rsidRDefault="00CD3260" w:rsidP="00CD3260">
      <w:pPr>
        <w:jc w:val="both"/>
      </w:pPr>
      <w:r w:rsidRPr="00FB44C4">
        <w:sym w:font="Symbol" w:char="F05B"/>
      </w:r>
      <w:r w:rsidRPr="0009135C">
        <w:t>12</w:t>
      </w:r>
      <w:r w:rsidRPr="00FB44C4">
        <w:sym w:font="Symbol" w:char="F05D"/>
      </w:r>
      <w:r w:rsidRPr="0009135C">
        <w:t xml:space="preserve"> A. </w:t>
      </w:r>
      <w:proofErr w:type="spellStart"/>
      <w:r w:rsidRPr="0009135C">
        <w:t>Scheid</w:t>
      </w:r>
      <w:proofErr w:type="spellEnd"/>
      <w:r w:rsidRPr="0009135C">
        <w:t xml:space="preserve">, A. S. C. M. </w:t>
      </w:r>
      <w:proofErr w:type="spellStart"/>
      <w:r w:rsidRPr="0009135C">
        <w:t>D’Oliveira</w:t>
      </w:r>
      <w:proofErr w:type="spellEnd"/>
      <w:r w:rsidRPr="0009135C">
        <w:rPr>
          <w:color w:val="000000"/>
        </w:rPr>
        <w:t xml:space="preserve">. </w:t>
      </w:r>
      <w:r w:rsidRPr="00FB44C4">
        <w:t xml:space="preserve">Effect of processing on microstructure and properties of </w:t>
      </w:r>
      <w:proofErr w:type="spellStart"/>
      <w:r w:rsidRPr="00FB44C4">
        <w:t>CoCrMoSi</w:t>
      </w:r>
      <w:proofErr w:type="spellEnd"/>
      <w:r w:rsidRPr="00FB44C4">
        <w:t xml:space="preserve"> alloy. </w:t>
      </w:r>
      <w:r w:rsidRPr="00760F8F">
        <w:t xml:space="preserve">Mater. Res. 16 </w:t>
      </w:r>
      <w:r>
        <w:t>(6), 2013,</w:t>
      </w:r>
      <w:r w:rsidRPr="00760F8F">
        <w:t xml:space="preserve"> 1325-1330.</w:t>
      </w:r>
    </w:p>
    <w:p w:rsidR="00CD3260" w:rsidRDefault="00CD3260" w:rsidP="00CD3260">
      <w:pPr>
        <w:autoSpaceDE w:val="0"/>
        <w:autoSpaceDN w:val="0"/>
        <w:adjustRightInd w:val="0"/>
        <w:spacing w:line="480" w:lineRule="auto"/>
        <w:jc w:val="both"/>
      </w:pPr>
    </w:p>
    <w:p w:rsidR="00CD3260" w:rsidRPr="00FB44C4" w:rsidRDefault="00CD3260" w:rsidP="00CD3260">
      <w:pPr>
        <w:autoSpaceDE w:val="0"/>
        <w:autoSpaceDN w:val="0"/>
        <w:adjustRightInd w:val="0"/>
        <w:jc w:val="both"/>
      </w:pPr>
      <w:r w:rsidRPr="00FB44C4">
        <w:sym w:font="Symbol" w:char="F05B"/>
      </w:r>
      <w:r>
        <w:t>13</w:t>
      </w:r>
      <w:r w:rsidRPr="00FB44C4">
        <w:sym w:font="Symbol" w:char="F05D"/>
      </w:r>
      <w:r w:rsidRPr="004A4FBD">
        <w:t xml:space="preserve"> E. </w:t>
      </w:r>
      <w:proofErr w:type="spellStart"/>
      <w:r w:rsidRPr="004A4FBD">
        <w:t>Rabinowicz</w:t>
      </w:r>
      <w:proofErr w:type="spellEnd"/>
      <w:r>
        <w:t>,</w:t>
      </w:r>
      <w:r w:rsidRPr="004A4FBD">
        <w:t xml:space="preserve"> </w:t>
      </w:r>
      <w:r>
        <w:t>Friction and Wear of Materials,</w:t>
      </w:r>
      <w:r w:rsidRPr="00FB44C4">
        <w:t xml:space="preserve"> </w:t>
      </w:r>
      <w:r>
        <w:t xml:space="preserve">Second ed., Wiley </w:t>
      </w:r>
      <w:proofErr w:type="spellStart"/>
      <w:r>
        <w:t>Interscience</w:t>
      </w:r>
      <w:proofErr w:type="spellEnd"/>
      <w:r>
        <w:t xml:space="preserve">, New York, 1995, </w:t>
      </w:r>
      <w:r w:rsidR="00176EB6">
        <w:t>143-190.</w:t>
      </w:r>
    </w:p>
    <w:p w:rsidR="00CD3260" w:rsidRDefault="00CD3260" w:rsidP="00CD3260">
      <w:pPr>
        <w:autoSpaceDE w:val="0"/>
        <w:autoSpaceDN w:val="0"/>
        <w:adjustRightInd w:val="0"/>
        <w:spacing w:line="480" w:lineRule="auto"/>
        <w:jc w:val="both"/>
      </w:pPr>
    </w:p>
    <w:p w:rsidR="00CD3260" w:rsidRPr="00FB44C4" w:rsidRDefault="00CD3260" w:rsidP="00CD3260">
      <w:pPr>
        <w:autoSpaceDE w:val="0"/>
        <w:autoSpaceDN w:val="0"/>
        <w:adjustRightInd w:val="0"/>
        <w:jc w:val="both"/>
      </w:pPr>
      <w:r w:rsidRPr="00FB44C4">
        <w:sym w:font="Symbol" w:char="F05B"/>
      </w:r>
      <w:r>
        <w:t>14</w:t>
      </w:r>
      <w:r w:rsidRPr="00FB44C4">
        <w:sym w:font="Symbol" w:char="F05D"/>
      </w:r>
      <w:r>
        <w:t xml:space="preserve"> </w:t>
      </w:r>
      <w:r w:rsidRPr="00FB44C4">
        <w:t xml:space="preserve">A. </w:t>
      </w:r>
      <w:proofErr w:type="spellStart"/>
      <w:r w:rsidRPr="00FB44C4">
        <w:t>Çelik</w:t>
      </w:r>
      <w:proofErr w:type="spellEnd"/>
      <w:r w:rsidRPr="00FB44C4">
        <w:t xml:space="preserve">, Ö. </w:t>
      </w:r>
      <w:proofErr w:type="spellStart"/>
      <w:r w:rsidRPr="00FB44C4">
        <w:t>Bayrak</w:t>
      </w:r>
      <w:proofErr w:type="spellEnd"/>
      <w:r w:rsidRPr="00FB44C4">
        <w:t xml:space="preserve">, A. </w:t>
      </w:r>
      <w:proofErr w:type="spellStart"/>
      <w:r w:rsidRPr="00FB44C4">
        <w:t>Alsaran</w:t>
      </w:r>
      <w:proofErr w:type="spellEnd"/>
      <w:r w:rsidRPr="00FB44C4">
        <w:t xml:space="preserve">, Í. </w:t>
      </w:r>
      <w:proofErr w:type="spellStart"/>
      <w:r w:rsidRPr="00FB44C4">
        <w:t>Kaymaz</w:t>
      </w:r>
      <w:proofErr w:type="spellEnd"/>
      <w:r w:rsidRPr="00FB44C4">
        <w:t xml:space="preserve">, A. F. </w:t>
      </w:r>
      <w:proofErr w:type="spellStart"/>
      <w:r w:rsidRPr="00FB44C4">
        <w:t>Yetim</w:t>
      </w:r>
      <w:proofErr w:type="spellEnd"/>
      <w:r w:rsidRPr="00FB44C4">
        <w:t xml:space="preserve">. Effects of plasma </w:t>
      </w:r>
      <w:proofErr w:type="spellStart"/>
      <w:r w:rsidRPr="00FB44C4">
        <w:t>nitriding</w:t>
      </w:r>
      <w:proofErr w:type="spellEnd"/>
      <w:r w:rsidRPr="00FB44C4">
        <w:t xml:space="preserve"> on mechanical and </w:t>
      </w:r>
      <w:proofErr w:type="spellStart"/>
      <w:r w:rsidRPr="00FB44C4">
        <w:t>tribological</w:t>
      </w:r>
      <w:proofErr w:type="spellEnd"/>
      <w:r w:rsidRPr="00FB44C4">
        <w:t xml:space="preserve"> properties of </w:t>
      </w:r>
      <w:proofErr w:type="spellStart"/>
      <w:r w:rsidRPr="00FB44C4">
        <w:t>CoCrMo</w:t>
      </w:r>
      <w:proofErr w:type="spellEnd"/>
      <w:r w:rsidRPr="00FB44C4">
        <w:t xml:space="preserve"> alloy. Surf</w:t>
      </w:r>
      <w:r>
        <w:t xml:space="preserve">. </w:t>
      </w:r>
      <w:r w:rsidRPr="00FB44C4">
        <w:t>Coat</w:t>
      </w:r>
      <w:r>
        <w:t>.</w:t>
      </w:r>
      <w:r w:rsidRPr="00FB44C4">
        <w:t xml:space="preserve"> Technol</w:t>
      </w:r>
      <w:r>
        <w:t>.</w:t>
      </w:r>
      <w:r w:rsidRPr="00FB44C4">
        <w:t xml:space="preserve"> 202</w:t>
      </w:r>
      <w:r>
        <w:t xml:space="preserve"> (11), </w:t>
      </w:r>
      <w:r w:rsidRPr="00FB44C4">
        <w:t>2008</w:t>
      </w:r>
      <w:r>
        <w:t>,</w:t>
      </w:r>
      <w:r w:rsidRPr="00FB44C4">
        <w:t xml:space="preserve"> </w:t>
      </w:r>
      <w:r>
        <w:t>2433</w:t>
      </w:r>
      <w:r w:rsidRPr="00FB44C4">
        <w:t>-2438.</w:t>
      </w:r>
    </w:p>
    <w:p w:rsidR="00CD3260" w:rsidRPr="00FB44C4" w:rsidRDefault="00CD3260" w:rsidP="00CD3260">
      <w:pPr>
        <w:autoSpaceDE w:val="0"/>
        <w:autoSpaceDN w:val="0"/>
        <w:adjustRightInd w:val="0"/>
        <w:spacing w:line="480" w:lineRule="auto"/>
        <w:jc w:val="both"/>
      </w:pPr>
    </w:p>
    <w:p w:rsidR="00CD3260" w:rsidRDefault="00CD3260" w:rsidP="00CD3260">
      <w:pPr>
        <w:autoSpaceDE w:val="0"/>
        <w:autoSpaceDN w:val="0"/>
        <w:adjustRightInd w:val="0"/>
        <w:jc w:val="both"/>
      </w:pPr>
      <w:r w:rsidRPr="00FB44C4">
        <w:sym w:font="Symbol" w:char="F05B"/>
      </w:r>
      <w:r>
        <w:t>15</w:t>
      </w:r>
      <w:r w:rsidRPr="00FB44C4">
        <w:sym w:font="Symbol" w:char="F05D"/>
      </w:r>
      <w:r w:rsidRPr="00FB44C4">
        <w:t xml:space="preserve"> R. Wei, T. Booker, C. Rincon, J. </w:t>
      </w:r>
      <w:proofErr w:type="spellStart"/>
      <w:r w:rsidRPr="00FB44C4">
        <w:t>Arps</w:t>
      </w:r>
      <w:proofErr w:type="spellEnd"/>
      <w:r w:rsidRPr="00FB44C4">
        <w:t xml:space="preserve">. High-intensity plasma ion </w:t>
      </w:r>
      <w:proofErr w:type="spellStart"/>
      <w:r w:rsidRPr="00FB44C4">
        <w:t>nitriding</w:t>
      </w:r>
      <w:proofErr w:type="spellEnd"/>
      <w:r w:rsidRPr="00FB44C4">
        <w:t xml:space="preserve"> of orthopedic materials Part I. </w:t>
      </w:r>
      <w:proofErr w:type="spellStart"/>
      <w:r w:rsidRPr="00FB44C4">
        <w:t>Tribological</w:t>
      </w:r>
      <w:proofErr w:type="spellEnd"/>
      <w:r w:rsidRPr="00FB44C4">
        <w:t xml:space="preserve"> study. Surf</w:t>
      </w:r>
      <w:r>
        <w:t>.</w:t>
      </w:r>
      <w:r w:rsidRPr="00FB44C4">
        <w:t xml:space="preserve"> Coat</w:t>
      </w:r>
      <w:r>
        <w:t>.</w:t>
      </w:r>
      <w:r w:rsidRPr="00FB44C4">
        <w:t xml:space="preserve"> Technol. 186</w:t>
      </w:r>
      <w:r>
        <w:t xml:space="preserve"> (1-2), 2004,</w:t>
      </w:r>
      <w:r w:rsidRPr="00FB44C4">
        <w:t xml:space="preserve"> 305 -313.</w:t>
      </w:r>
    </w:p>
    <w:p w:rsidR="00CD3260" w:rsidRDefault="00CD3260" w:rsidP="00CD3260">
      <w:pPr>
        <w:autoSpaceDE w:val="0"/>
        <w:autoSpaceDN w:val="0"/>
        <w:adjustRightInd w:val="0"/>
        <w:spacing w:line="480" w:lineRule="auto"/>
        <w:jc w:val="both"/>
      </w:pPr>
    </w:p>
    <w:p w:rsidR="00CD3260" w:rsidRDefault="00CD3260" w:rsidP="00CD3260">
      <w:pPr>
        <w:autoSpaceDE w:val="0"/>
        <w:autoSpaceDN w:val="0"/>
        <w:adjustRightInd w:val="0"/>
        <w:jc w:val="both"/>
      </w:pPr>
      <w:r w:rsidRPr="00FB44C4">
        <w:sym w:font="Symbol" w:char="F05B"/>
      </w:r>
      <w:r>
        <w:t>16</w:t>
      </w:r>
      <w:r w:rsidRPr="00FB44C4">
        <w:sym w:font="Symbol" w:char="F05D"/>
      </w:r>
      <w:r w:rsidRPr="00FB44C4">
        <w:t xml:space="preserve"> </w:t>
      </w:r>
      <w:r>
        <w:t>K. Jiang, R. Liu, K. Chen, M. Liang</w:t>
      </w:r>
      <w:r w:rsidRPr="00FB44C4">
        <w:t xml:space="preserve">. </w:t>
      </w:r>
      <w:r>
        <w:t xml:space="preserve">Microstructure and </w:t>
      </w:r>
      <w:proofErr w:type="spellStart"/>
      <w:r>
        <w:t>tribological</w:t>
      </w:r>
      <w:proofErr w:type="spellEnd"/>
      <w:r>
        <w:t xml:space="preserve"> properties of solution-treated </w:t>
      </w:r>
      <w:proofErr w:type="spellStart"/>
      <w:r>
        <w:t>tribaloy</w:t>
      </w:r>
      <w:proofErr w:type="spellEnd"/>
      <w:r>
        <w:t xml:space="preserve"> alloy</w:t>
      </w:r>
      <w:r w:rsidRPr="00FB44C4">
        <w:t xml:space="preserve">. </w:t>
      </w:r>
      <w:r>
        <w:t>Wear</w:t>
      </w:r>
      <w:r w:rsidRPr="00FB44C4">
        <w:t xml:space="preserve">. </w:t>
      </w:r>
      <w:r>
        <w:t xml:space="preserve">307 (1-2), </w:t>
      </w:r>
      <w:r w:rsidRPr="00FB44C4">
        <w:t>20</w:t>
      </w:r>
      <w:r>
        <w:t>13,</w:t>
      </w:r>
      <w:r w:rsidRPr="00FB44C4">
        <w:t xml:space="preserve"> </w:t>
      </w:r>
      <w:r>
        <w:t>22</w:t>
      </w:r>
      <w:r w:rsidRPr="00FB44C4">
        <w:t>-</w:t>
      </w:r>
      <w:r>
        <w:t>27</w:t>
      </w:r>
      <w:r w:rsidRPr="00FB44C4">
        <w:t>.</w:t>
      </w: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EF56D5" w:rsidRDefault="00EF56D5" w:rsidP="00FA5FFA">
      <w:pPr>
        <w:spacing w:line="480" w:lineRule="auto"/>
        <w:jc w:val="both"/>
      </w:pPr>
    </w:p>
    <w:p w:rsidR="00EF56D5" w:rsidRDefault="00EF56D5" w:rsidP="00FA5FFA">
      <w:pPr>
        <w:spacing w:line="480" w:lineRule="auto"/>
        <w:jc w:val="both"/>
      </w:pPr>
    </w:p>
    <w:p w:rsidR="00EF56D5" w:rsidRDefault="00EF56D5" w:rsidP="00FA5FFA">
      <w:pPr>
        <w:spacing w:line="480" w:lineRule="auto"/>
        <w:jc w:val="both"/>
      </w:pPr>
    </w:p>
    <w:p w:rsidR="00EF56D5" w:rsidRDefault="00EF56D5" w:rsidP="00FA5FFA">
      <w:pPr>
        <w:spacing w:line="480" w:lineRule="auto"/>
        <w:jc w:val="both"/>
      </w:pPr>
    </w:p>
    <w:p w:rsidR="00EF56D5" w:rsidRDefault="00EF56D5" w:rsidP="00FA5FFA">
      <w:pPr>
        <w:spacing w:line="480" w:lineRule="auto"/>
        <w:jc w:val="both"/>
      </w:pPr>
    </w:p>
    <w:p w:rsidR="00EF56D5" w:rsidRDefault="00EF56D5"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EF56D5" w:rsidRDefault="00EF56D5" w:rsidP="00FA5FFA">
      <w:pPr>
        <w:spacing w:line="480" w:lineRule="auto"/>
        <w:jc w:val="both"/>
      </w:pPr>
    </w:p>
    <w:p w:rsidR="00EF56D5" w:rsidRDefault="00EF56D5"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Pr="00C41355" w:rsidRDefault="00C41355" w:rsidP="00C41355">
      <w:pPr>
        <w:spacing w:line="480" w:lineRule="auto"/>
        <w:jc w:val="both"/>
        <w:rPr>
          <w:b/>
        </w:rPr>
      </w:pPr>
      <w:r>
        <w:rPr>
          <w:b/>
        </w:rPr>
        <w:lastRenderedPageBreak/>
        <w:t>Table 1</w:t>
      </w:r>
      <w:r w:rsidR="00FA5FFA" w:rsidRPr="00C41355">
        <w:rPr>
          <w:b/>
        </w:rPr>
        <w:t xml:space="preserve"> Chemical Composition of the materials used</w:t>
      </w:r>
      <w:r w:rsidR="00EF56D5">
        <w:rPr>
          <w:b/>
        </w:rPr>
        <w:t xml:space="preserve"> (wt %)</w:t>
      </w:r>
      <w:r w:rsidR="00FA5FFA" w:rsidRPr="00C41355">
        <w:rPr>
          <w:b/>
        </w:rPr>
        <w:t>.</w:t>
      </w:r>
    </w:p>
    <w:tbl>
      <w:tblPr>
        <w:tblW w:w="0" w:type="auto"/>
        <w:jc w:val="center"/>
        <w:tblInd w:w="-144" w:type="dxa"/>
        <w:tblLook w:val="0000"/>
      </w:tblPr>
      <w:tblGrid>
        <w:gridCol w:w="2559"/>
        <w:gridCol w:w="636"/>
        <w:gridCol w:w="636"/>
        <w:gridCol w:w="636"/>
        <w:gridCol w:w="636"/>
        <w:gridCol w:w="636"/>
        <w:gridCol w:w="756"/>
        <w:gridCol w:w="756"/>
        <w:gridCol w:w="636"/>
        <w:gridCol w:w="756"/>
      </w:tblGrid>
      <w:tr w:rsidR="00556868" w:rsidRPr="00FB44C4" w:rsidTr="00556868">
        <w:trPr>
          <w:trHeight w:hRule="exact" w:val="397"/>
          <w:jc w:val="center"/>
        </w:trPr>
        <w:tc>
          <w:tcPr>
            <w:tcW w:w="2559" w:type="dxa"/>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Pr>
                <w:b/>
              </w:rPr>
              <w:t>Alloy</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Co</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Cr</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W</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Mo</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C</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Fe</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Ni</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r w:rsidRPr="00FB44C4">
              <w:rPr>
                <w:b/>
              </w:rPr>
              <w:t>Si</w:t>
            </w:r>
          </w:p>
        </w:tc>
        <w:tc>
          <w:tcPr>
            <w:tcW w:w="0" w:type="auto"/>
            <w:tcBorders>
              <w:top w:val="single" w:sz="4" w:space="0" w:color="auto"/>
              <w:bottom w:val="single" w:sz="4" w:space="0" w:color="auto"/>
            </w:tcBorders>
            <w:vAlign w:val="center"/>
          </w:tcPr>
          <w:p w:rsidR="00556868" w:rsidRPr="00FB44C4" w:rsidRDefault="00556868" w:rsidP="00334199">
            <w:pPr>
              <w:numPr>
                <w:ilvl w:val="12"/>
                <w:numId w:val="0"/>
              </w:numPr>
              <w:spacing w:line="480" w:lineRule="auto"/>
              <w:jc w:val="center"/>
              <w:rPr>
                <w:b/>
              </w:rPr>
            </w:pPr>
            <w:proofErr w:type="spellStart"/>
            <w:r w:rsidRPr="00FB44C4">
              <w:rPr>
                <w:b/>
              </w:rPr>
              <w:t>Mn</w:t>
            </w:r>
            <w:proofErr w:type="spellEnd"/>
          </w:p>
        </w:tc>
      </w:tr>
      <w:tr w:rsidR="00FA5FFA" w:rsidRPr="00FB44C4" w:rsidTr="00773D2C">
        <w:trPr>
          <w:trHeight w:hRule="exact" w:val="397"/>
          <w:jc w:val="center"/>
        </w:trPr>
        <w:tc>
          <w:tcPr>
            <w:tcW w:w="2559" w:type="dxa"/>
            <w:tcBorders>
              <w:top w:val="single" w:sz="4" w:space="0" w:color="auto"/>
              <w:bottom w:val="single" w:sz="4" w:space="0" w:color="auto"/>
            </w:tcBorders>
            <w:vAlign w:val="center"/>
          </w:tcPr>
          <w:p w:rsidR="00FA5FFA" w:rsidRPr="00FB44C4" w:rsidRDefault="00FA5FFA" w:rsidP="00334199">
            <w:pPr>
              <w:numPr>
                <w:ilvl w:val="12"/>
                <w:numId w:val="0"/>
              </w:numPr>
              <w:spacing w:line="480" w:lineRule="auto"/>
              <w:jc w:val="center"/>
            </w:pPr>
            <w:proofErr w:type="spellStart"/>
            <w:r w:rsidRPr="00FB44C4">
              <w:t>CoMoCrSi</w:t>
            </w:r>
            <w:proofErr w:type="spellEnd"/>
          </w:p>
        </w:tc>
        <w:tc>
          <w:tcPr>
            <w:tcW w:w="0" w:type="auto"/>
            <w:tcBorders>
              <w:top w:val="single" w:sz="4" w:space="0" w:color="auto"/>
              <w:bottom w:val="single" w:sz="4" w:space="0" w:color="auto"/>
            </w:tcBorders>
            <w:vAlign w:val="center"/>
          </w:tcPr>
          <w:p w:rsidR="00FA5FFA" w:rsidRPr="00FB44C4" w:rsidRDefault="00FA5FFA" w:rsidP="00334199">
            <w:pPr>
              <w:numPr>
                <w:ilvl w:val="12"/>
                <w:numId w:val="0"/>
              </w:numPr>
              <w:spacing w:line="480" w:lineRule="auto"/>
              <w:jc w:val="center"/>
            </w:pPr>
            <w:r w:rsidRPr="00FB44C4">
              <w:t>Bal.</w:t>
            </w:r>
          </w:p>
        </w:tc>
        <w:tc>
          <w:tcPr>
            <w:tcW w:w="0" w:type="auto"/>
            <w:tcBorders>
              <w:top w:val="single" w:sz="4" w:space="0" w:color="auto"/>
              <w:bottom w:val="single" w:sz="4" w:space="0" w:color="auto"/>
            </w:tcBorders>
            <w:vAlign w:val="center"/>
          </w:tcPr>
          <w:p w:rsidR="00FA5FFA" w:rsidRPr="00FB44C4" w:rsidRDefault="00594325" w:rsidP="00334199">
            <w:pPr>
              <w:numPr>
                <w:ilvl w:val="12"/>
                <w:numId w:val="0"/>
              </w:numPr>
              <w:spacing w:line="480" w:lineRule="auto"/>
              <w:jc w:val="center"/>
            </w:pPr>
            <w:r>
              <w:t>8</w:t>
            </w:r>
            <w:r w:rsidRPr="00594325">
              <w:rPr>
                <w:highlight w:val="yellow"/>
              </w:rPr>
              <w:t>.</w:t>
            </w:r>
            <w:r w:rsidR="00FA5FFA" w:rsidRPr="00FB44C4">
              <w:t>8</w:t>
            </w:r>
          </w:p>
        </w:tc>
        <w:tc>
          <w:tcPr>
            <w:tcW w:w="0" w:type="auto"/>
            <w:tcBorders>
              <w:top w:val="single" w:sz="4" w:space="0" w:color="auto"/>
              <w:bottom w:val="single" w:sz="4" w:space="0" w:color="auto"/>
            </w:tcBorders>
            <w:vAlign w:val="center"/>
          </w:tcPr>
          <w:p w:rsidR="00FA5FFA" w:rsidRPr="00FB44C4" w:rsidRDefault="00FA5FFA" w:rsidP="00334199">
            <w:pPr>
              <w:numPr>
                <w:ilvl w:val="12"/>
                <w:numId w:val="0"/>
              </w:numPr>
              <w:spacing w:line="480" w:lineRule="auto"/>
              <w:jc w:val="center"/>
            </w:pPr>
            <w:r w:rsidRPr="00FB44C4">
              <w:t>....</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29</w:t>
            </w:r>
            <w:r w:rsidR="00594325" w:rsidRPr="00594325">
              <w:rPr>
                <w:highlight w:val="yellow"/>
              </w:rPr>
              <w:t>.</w:t>
            </w:r>
            <w:r w:rsidRPr="00FB44C4">
              <w:t>1</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0</w:t>
            </w:r>
            <w:r w:rsidR="00594325" w:rsidRPr="00594325">
              <w:rPr>
                <w:highlight w:val="yellow"/>
              </w:rPr>
              <w:t>.</w:t>
            </w:r>
            <w:r w:rsidRPr="00FB44C4">
              <w:t>05</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0</w:t>
            </w:r>
            <w:r w:rsidR="00594325" w:rsidRPr="00594325">
              <w:rPr>
                <w:highlight w:val="yellow"/>
              </w:rPr>
              <w:t>.</w:t>
            </w:r>
            <w:r w:rsidRPr="00FB44C4">
              <w:t>4</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0</w:t>
            </w:r>
            <w:r w:rsidR="00594325" w:rsidRPr="00594325">
              <w:rPr>
                <w:highlight w:val="yellow"/>
              </w:rPr>
              <w:t>.</w:t>
            </w:r>
            <w:r w:rsidRPr="00FB44C4">
              <w:t>6</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2</w:t>
            </w:r>
            <w:r w:rsidR="00594325" w:rsidRPr="00594325">
              <w:rPr>
                <w:highlight w:val="yellow"/>
              </w:rPr>
              <w:t>.</w:t>
            </w:r>
            <w:r w:rsidRPr="00FB44C4">
              <w:t>4</w:t>
            </w:r>
          </w:p>
        </w:tc>
        <w:tc>
          <w:tcPr>
            <w:tcW w:w="0" w:type="auto"/>
            <w:tcBorders>
              <w:top w:val="single" w:sz="4" w:space="0" w:color="auto"/>
              <w:bottom w:val="single" w:sz="4" w:space="0" w:color="auto"/>
            </w:tcBorders>
            <w:vAlign w:val="center"/>
          </w:tcPr>
          <w:p w:rsidR="00FA5FFA" w:rsidRPr="00FB44C4" w:rsidRDefault="00FA5FFA" w:rsidP="00334199">
            <w:pPr>
              <w:numPr>
                <w:ilvl w:val="12"/>
                <w:numId w:val="0"/>
              </w:numPr>
              <w:spacing w:line="480" w:lineRule="auto"/>
              <w:jc w:val="center"/>
            </w:pPr>
            <w:r w:rsidRPr="00FB44C4">
              <w:t>....</w:t>
            </w:r>
          </w:p>
        </w:tc>
      </w:tr>
      <w:tr w:rsidR="00FA5FFA" w:rsidRPr="00FB44C4" w:rsidTr="0036541A">
        <w:trPr>
          <w:trHeight w:hRule="exact" w:val="397"/>
          <w:jc w:val="center"/>
        </w:trPr>
        <w:tc>
          <w:tcPr>
            <w:tcW w:w="2559" w:type="dxa"/>
            <w:tcBorders>
              <w:bottom w:val="single" w:sz="4" w:space="0" w:color="auto"/>
            </w:tcBorders>
            <w:vAlign w:val="center"/>
          </w:tcPr>
          <w:p w:rsidR="00FA5FFA" w:rsidRPr="00FB44C4" w:rsidRDefault="00556868" w:rsidP="00334199">
            <w:pPr>
              <w:numPr>
                <w:ilvl w:val="12"/>
                <w:numId w:val="0"/>
              </w:numPr>
              <w:spacing w:line="480" w:lineRule="auto"/>
              <w:jc w:val="center"/>
              <w:rPr>
                <w:b/>
              </w:rPr>
            </w:pPr>
            <w:r w:rsidRPr="00FB44C4">
              <w:rPr>
                <w:b/>
              </w:rPr>
              <w:t>Substrate</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C</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proofErr w:type="spellStart"/>
            <w:r w:rsidRPr="00FB44C4">
              <w:rPr>
                <w:b/>
              </w:rPr>
              <w:t>Mn</w:t>
            </w:r>
            <w:proofErr w:type="spellEnd"/>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Si</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P</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S</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Cr</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Ni</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Mo</w:t>
            </w:r>
          </w:p>
        </w:tc>
        <w:tc>
          <w:tcPr>
            <w:tcW w:w="0" w:type="auto"/>
            <w:tcBorders>
              <w:bottom w:val="single" w:sz="4" w:space="0" w:color="auto"/>
            </w:tcBorders>
            <w:vAlign w:val="center"/>
          </w:tcPr>
          <w:p w:rsidR="00FA5FFA" w:rsidRPr="00FB44C4" w:rsidRDefault="00FA5FFA" w:rsidP="00334199">
            <w:pPr>
              <w:numPr>
                <w:ilvl w:val="12"/>
                <w:numId w:val="0"/>
              </w:numPr>
              <w:spacing w:line="480" w:lineRule="auto"/>
              <w:jc w:val="center"/>
              <w:rPr>
                <w:b/>
              </w:rPr>
            </w:pPr>
            <w:r w:rsidRPr="00FB44C4">
              <w:rPr>
                <w:b/>
              </w:rPr>
              <w:t>Al</w:t>
            </w:r>
          </w:p>
        </w:tc>
      </w:tr>
      <w:tr w:rsidR="00FA5FFA" w:rsidRPr="00FB44C4" w:rsidTr="00773D2C">
        <w:trPr>
          <w:trHeight w:hRule="exact" w:val="397"/>
          <w:jc w:val="center"/>
        </w:trPr>
        <w:tc>
          <w:tcPr>
            <w:tcW w:w="2559" w:type="dxa"/>
            <w:tcBorders>
              <w:top w:val="single" w:sz="4" w:space="0" w:color="auto"/>
              <w:bottom w:val="single" w:sz="4" w:space="0" w:color="auto"/>
            </w:tcBorders>
            <w:vAlign w:val="center"/>
          </w:tcPr>
          <w:p w:rsidR="00FA5FFA" w:rsidRPr="00FB44C4" w:rsidRDefault="00FA5FFA" w:rsidP="00334199">
            <w:pPr>
              <w:numPr>
                <w:ilvl w:val="12"/>
                <w:numId w:val="0"/>
              </w:numPr>
              <w:spacing w:line="480" w:lineRule="auto"/>
              <w:jc w:val="center"/>
            </w:pPr>
            <w:r w:rsidRPr="00FB44C4">
              <w:t>AISI 316L</w:t>
            </w:r>
          </w:p>
        </w:tc>
        <w:tc>
          <w:tcPr>
            <w:tcW w:w="0" w:type="auto"/>
            <w:tcBorders>
              <w:top w:val="single" w:sz="4" w:space="0" w:color="auto"/>
              <w:bottom w:val="single" w:sz="4" w:space="0" w:color="auto"/>
            </w:tcBorders>
            <w:vAlign w:val="center"/>
          </w:tcPr>
          <w:p w:rsidR="00FA5FFA" w:rsidRPr="00FB44C4" w:rsidRDefault="00594325" w:rsidP="00334199">
            <w:pPr>
              <w:numPr>
                <w:ilvl w:val="12"/>
                <w:numId w:val="0"/>
              </w:numPr>
              <w:spacing w:line="480" w:lineRule="auto"/>
              <w:jc w:val="center"/>
            </w:pPr>
            <w:r>
              <w:t>0</w:t>
            </w:r>
            <w:r w:rsidRPr="00594325">
              <w:rPr>
                <w:highlight w:val="yellow"/>
              </w:rPr>
              <w:t>.</w:t>
            </w:r>
            <w:r w:rsidR="00FA5FFA" w:rsidRPr="00FB44C4">
              <w:t>02</w:t>
            </w:r>
          </w:p>
        </w:tc>
        <w:tc>
          <w:tcPr>
            <w:tcW w:w="0" w:type="auto"/>
            <w:tcBorders>
              <w:top w:val="single" w:sz="4" w:space="0" w:color="auto"/>
              <w:bottom w:val="single" w:sz="4" w:space="0" w:color="auto"/>
            </w:tcBorders>
            <w:vAlign w:val="center"/>
          </w:tcPr>
          <w:p w:rsidR="00FA5FFA" w:rsidRPr="00FB44C4" w:rsidRDefault="00594325" w:rsidP="00334199">
            <w:pPr>
              <w:numPr>
                <w:ilvl w:val="12"/>
                <w:numId w:val="0"/>
              </w:numPr>
              <w:spacing w:line="480" w:lineRule="auto"/>
              <w:jc w:val="center"/>
            </w:pPr>
            <w:r>
              <w:t>1</w:t>
            </w:r>
            <w:r w:rsidRPr="00594325">
              <w:rPr>
                <w:highlight w:val="yellow"/>
              </w:rPr>
              <w:t>.</w:t>
            </w:r>
            <w:r w:rsidR="00FA5FFA" w:rsidRPr="00FB44C4">
              <w:t>35</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0</w:t>
            </w:r>
            <w:r w:rsidR="00594325" w:rsidRPr="00594325">
              <w:rPr>
                <w:highlight w:val="yellow"/>
              </w:rPr>
              <w:t>.</w:t>
            </w:r>
            <w:r w:rsidRPr="00FB44C4">
              <w:t>43</w:t>
            </w:r>
          </w:p>
        </w:tc>
        <w:tc>
          <w:tcPr>
            <w:tcW w:w="0" w:type="auto"/>
            <w:tcBorders>
              <w:top w:val="single" w:sz="4" w:space="0" w:color="auto"/>
              <w:bottom w:val="single" w:sz="4" w:space="0" w:color="auto"/>
            </w:tcBorders>
            <w:vAlign w:val="center"/>
          </w:tcPr>
          <w:p w:rsidR="00FA5FFA" w:rsidRPr="00FB44C4" w:rsidRDefault="00594325" w:rsidP="00334199">
            <w:pPr>
              <w:numPr>
                <w:ilvl w:val="12"/>
                <w:numId w:val="0"/>
              </w:numPr>
              <w:spacing w:line="480" w:lineRule="auto"/>
              <w:jc w:val="center"/>
            </w:pPr>
            <w:r>
              <w:t>0</w:t>
            </w:r>
            <w:r w:rsidRPr="00594325">
              <w:rPr>
                <w:highlight w:val="yellow"/>
              </w:rPr>
              <w:t>.</w:t>
            </w:r>
            <w:r w:rsidR="00FA5FFA" w:rsidRPr="00FB44C4">
              <w:t>0</w:t>
            </w:r>
            <w:r w:rsidR="00FA5FFA">
              <w:t>3</w:t>
            </w:r>
          </w:p>
        </w:tc>
        <w:tc>
          <w:tcPr>
            <w:tcW w:w="0" w:type="auto"/>
            <w:tcBorders>
              <w:top w:val="single" w:sz="4" w:space="0" w:color="auto"/>
              <w:bottom w:val="single" w:sz="4" w:space="0" w:color="auto"/>
            </w:tcBorders>
            <w:vAlign w:val="center"/>
          </w:tcPr>
          <w:p w:rsidR="00FA5FFA" w:rsidRPr="00FB44C4" w:rsidRDefault="00594325" w:rsidP="00334199">
            <w:pPr>
              <w:numPr>
                <w:ilvl w:val="12"/>
                <w:numId w:val="0"/>
              </w:numPr>
              <w:spacing w:line="480" w:lineRule="auto"/>
              <w:jc w:val="center"/>
            </w:pPr>
            <w:r>
              <w:t>0</w:t>
            </w:r>
            <w:r w:rsidRPr="00594325">
              <w:rPr>
                <w:highlight w:val="yellow"/>
              </w:rPr>
              <w:t>.</w:t>
            </w:r>
            <w:r w:rsidR="00FA5FFA" w:rsidRPr="00FB44C4">
              <w:t>0</w:t>
            </w:r>
            <w:r w:rsidR="00FA5FFA">
              <w:t>1</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16</w:t>
            </w:r>
            <w:r w:rsidR="00594325" w:rsidRPr="00594325">
              <w:rPr>
                <w:highlight w:val="yellow"/>
              </w:rPr>
              <w:t>.</w:t>
            </w:r>
            <w:r w:rsidRPr="00FB44C4">
              <w:t>78</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10</w:t>
            </w:r>
            <w:r w:rsidR="00594325" w:rsidRPr="00594325">
              <w:rPr>
                <w:highlight w:val="yellow"/>
              </w:rPr>
              <w:t>.</w:t>
            </w:r>
            <w:r w:rsidRPr="00FB44C4">
              <w:t>12</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2</w:t>
            </w:r>
            <w:r w:rsidR="00594325" w:rsidRPr="00594325">
              <w:rPr>
                <w:highlight w:val="yellow"/>
              </w:rPr>
              <w:t>.</w:t>
            </w:r>
            <w:r w:rsidRPr="00FB44C4">
              <w:t>1</w:t>
            </w:r>
            <w:r>
              <w:t>3</w:t>
            </w:r>
          </w:p>
        </w:tc>
        <w:tc>
          <w:tcPr>
            <w:tcW w:w="0" w:type="auto"/>
            <w:tcBorders>
              <w:top w:val="single" w:sz="4" w:space="0" w:color="auto"/>
              <w:bottom w:val="single" w:sz="4" w:space="0" w:color="auto"/>
            </w:tcBorders>
            <w:vAlign w:val="center"/>
          </w:tcPr>
          <w:p w:rsidR="00FA5FFA" w:rsidRPr="00FB44C4" w:rsidRDefault="00FA5FFA" w:rsidP="00594325">
            <w:pPr>
              <w:numPr>
                <w:ilvl w:val="12"/>
                <w:numId w:val="0"/>
              </w:numPr>
              <w:spacing w:line="480" w:lineRule="auto"/>
              <w:jc w:val="center"/>
            </w:pPr>
            <w:r w:rsidRPr="00FB44C4">
              <w:t>0</w:t>
            </w:r>
            <w:r w:rsidR="00594325" w:rsidRPr="00594325">
              <w:rPr>
                <w:highlight w:val="yellow"/>
              </w:rPr>
              <w:t>.</w:t>
            </w:r>
            <w:r w:rsidRPr="00FB44C4">
              <w:t>002</w:t>
            </w:r>
          </w:p>
        </w:tc>
      </w:tr>
    </w:tbl>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C71DDE" w:rsidRDefault="00C71DDE" w:rsidP="00FA5FFA">
      <w:pPr>
        <w:spacing w:line="480" w:lineRule="auto"/>
        <w:jc w:val="both"/>
      </w:pPr>
    </w:p>
    <w:p w:rsidR="00C71DDE" w:rsidRDefault="00C71DDE"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Default="00FA5FFA" w:rsidP="00FA5FFA">
      <w:pPr>
        <w:spacing w:line="480" w:lineRule="auto"/>
        <w:jc w:val="both"/>
      </w:pPr>
    </w:p>
    <w:p w:rsidR="00FA5FFA" w:rsidRPr="00FB44C4" w:rsidRDefault="00FA5FFA" w:rsidP="00FA5FFA">
      <w:pPr>
        <w:spacing w:line="480" w:lineRule="auto"/>
        <w:jc w:val="both"/>
      </w:pPr>
      <w:r w:rsidRPr="00FB44C4">
        <w:t xml:space="preserve">  </w:t>
      </w:r>
    </w:p>
    <w:p w:rsidR="00FA5FFA" w:rsidRPr="00C41355" w:rsidRDefault="00C41355" w:rsidP="00C41355">
      <w:pPr>
        <w:spacing w:line="480" w:lineRule="auto"/>
        <w:jc w:val="both"/>
        <w:rPr>
          <w:b/>
        </w:rPr>
      </w:pPr>
      <w:r>
        <w:rPr>
          <w:b/>
        </w:rPr>
        <w:lastRenderedPageBreak/>
        <w:t>Table 2</w:t>
      </w:r>
      <w:r w:rsidR="00FA5FFA" w:rsidRPr="00C41355">
        <w:rPr>
          <w:b/>
        </w:rPr>
        <w:t xml:space="preserve"> Plasma Transferred Arc processing parameters.</w:t>
      </w:r>
    </w:p>
    <w:tbl>
      <w:tblPr>
        <w:tblW w:w="0" w:type="auto"/>
        <w:jc w:val="center"/>
        <w:tblBorders>
          <w:top w:val="single" w:sz="4" w:space="0" w:color="auto"/>
          <w:bottom w:val="single" w:sz="4" w:space="0" w:color="auto"/>
        </w:tblBorders>
        <w:tblLayout w:type="fixed"/>
        <w:tblLook w:val="0000"/>
      </w:tblPr>
      <w:tblGrid>
        <w:gridCol w:w="4311"/>
        <w:gridCol w:w="4270"/>
      </w:tblGrid>
      <w:tr w:rsidR="00FA5FFA" w:rsidRPr="00FB44C4" w:rsidTr="00E172B9">
        <w:trPr>
          <w:trHeight w:hRule="exact" w:val="397"/>
          <w:jc w:val="center"/>
        </w:trPr>
        <w:tc>
          <w:tcPr>
            <w:tcW w:w="4311" w:type="dxa"/>
            <w:tcBorders>
              <w:bottom w:val="single" w:sz="4" w:space="0" w:color="auto"/>
            </w:tcBorders>
          </w:tcPr>
          <w:p w:rsidR="00FA5FFA" w:rsidRPr="00FB44C4" w:rsidRDefault="00FA5FFA" w:rsidP="00334199">
            <w:pPr>
              <w:pStyle w:val="Corpodetexto"/>
              <w:spacing w:line="480" w:lineRule="auto"/>
              <w:rPr>
                <w:b/>
              </w:rPr>
            </w:pPr>
            <w:r w:rsidRPr="00FB44C4">
              <w:rPr>
                <w:b/>
              </w:rPr>
              <w:t>Parameters</w:t>
            </w:r>
          </w:p>
        </w:tc>
        <w:tc>
          <w:tcPr>
            <w:tcW w:w="4270" w:type="dxa"/>
            <w:tcBorders>
              <w:bottom w:val="single" w:sz="4" w:space="0" w:color="auto"/>
            </w:tcBorders>
          </w:tcPr>
          <w:p w:rsidR="00FA5FFA" w:rsidRPr="00FB44C4" w:rsidRDefault="00E172B9" w:rsidP="00334199">
            <w:pPr>
              <w:pStyle w:val="Corpodetexto"/>
              <w:spacing w:line="480" w:lineRule="auto"/>
              <w:jc w:val="center"/>
              <w:rPr>
                <w:b/>
              </w:rPr>
            </w:pPr>
            <w:r>
              <w:rPr>
                <w:b/>
              </w:rPr>
              <w:t>Values</w:t>
            </w:r>
          </w:p>
        </w:tc>
      </w:tr>
      <w:tr w:rsidR="00FA5FFA" w:rsidRPr="00FB44C4" w:rsidTr="00E172B9">
        <w:trPr>
          <w:trHeight w:hRule="exact" w:val="397"/>
          <w:jc w:val="center"/>
        </w:trPr>
        <w:tc>
          <w:tcPr>
            <w:tcW w:w="4311" w:type="dxa"/>
            <w:tcBorders>
              <w:top w:val="single" w:sz="4" w:space="0" w:color="auto"/>
              <w:bottom w:val="nil"/>
            </w:tcBorders>
          </w:tcPr>
          <w:p w:rsidR="00FA5FFA" w:rsidRPr="00FB44C4" w:rsidRDefault="00FA5FFA" w:rsidP="00334199">
            <w:pPr>
              <w:pStyle w:val="Corpodetexto"/>
              <w:spacing w:line="480" w:lineRule="auto"/>
            </w:pPr>
            <w:r w:rsidRPr="00FB44C4">
              <w:t>Shielding gas (l/min)</w:t>
            </w:r>
          </w:p>
        </w:tc>
        <w:tc>
          <w:tcPr>
            <w:tcW w:w="4270" w:type="dxa"/>
            <w:tcBorders>
              <w:top w:val="single" w:sz="4" w:space="0" w:color="auto"/>
              <w:bottom w:val="nil"/>
            </w:tcBorders>
          </w:tcPr>
          <w:p w:rsidR="00FA5FFA" w:rsidRPr="00FB44C4" w:rsidRDefault="00FA5FFA" w:rsidP="00334199">
            <w:pPr>
              <w:pStyle w:val="Corpodetexto"/>
              <w:spacing w:line="480" w:lineRule="auto"/>
              <w:jc w:val="center"/>
            </w:pPr>
            <w:r w:rsidRPr="00FB44C4">
              <w:t>2</w:t>
            </w:r>
          </w:p>
        </w:tc>
      </w:tr>
      <w:tr w:rsidR="00FA5FFA" w:rsidRPr="00FB44C4" w:rsidTr="00E172B9">
        <w:trPr>
          <w:trHeight w:hRule="exact" w:val="397"/>
          <w:jc w:val="center"/>
        </w:trPr>
        <w:tc>
          <w:tcPr>
            <w:tcW w:w="4311" w:type="dxa"/>
            <w:tcBorders>
              <w:top w:val="nil"/>
            </w:tcBorders>
          </w:tcPr>
          <w:p w:rsidR="00FA5FFA" w:rsidRPr="00FB44C4" w:rsidRDefault="00FA5FFA" w:rsidP="00334199">
            <w:pPr>
              <w:pStyle w:val="Corpodetexto"/>
              <w:spacing w:line="480" w:lineRule="auto"/>
            </w:pPr>
            <w:r w:rsidRPr="00FB44C4">
              <w:t>Protection gas (l/min)</w:t>
            </w:r>
          </w:p>
        </w:tc>
        <w:tc>
          <w:tcPr>
            <w:tcW w:w="4270" w:type="dxa"/>
            <w:tcBorders>
              <w:top w:val="nil"/>
            </w:tcBorders>
          </w:tcPr>
          <w:p w:rsidR="00FA5FFA" w:rsidRPr="00FB44C4" w:rsidRDefault="00FA5FFA" w:rsidP="00334199">
            <w:pPr>
              <w:pStyle w:val="Corpodetexto"/>
              <w:spacing w:line="480" w:lineRule="auto"/>
              <w:jc w:val="center"/>
            </w:pPr>
            <w:r w:rsidRPr="00FB44C4">
              <w:t>15</w:t>
            </w:r>
          </w:p>
        </w:tc>
      </w:tr>
      <w:tr w:rsidR="00FA5FFA" w:rsidRPr="00FB44C4" w:rsidTr="00E172B9">
        <w:trPr>
          <w:trHeight w:hRule="exact" w:val="397"/>
          <w:jc w:val="center"/>
        </w:trPr>
        <w:tc>
          <w:tcPr>
            <w:tcW w:w="4311" w:type="dxa"/>
          </w:tcPr>
          <w:p w:rsidR="00FA5FFA" w:rsidRPr="00FB44C4" w:rsidRDefault="00FA5FFA" w:rsidP="00334199">
            <w:pPr>
              <w:pStyle w:val="Corpodetexto"/>
              <w:spacing w:line="480" w:lineRule="auto"/>
            </w:pPr>
            <w:r w:rsidRPr="00FB44C4">
              <w:t>Powder feeding gas (l/min)</w:t>
            </w:r>
          </w:p>
        </w:tc>
        <w:tc>
          <w:tcPr>
            <w:tcW w:w="4270" w:type="dxa"/>
          </w:tcPr>
          <w:p w:rsidR="00FA5FFA" w:rsidRPr="00FB44C4" w:rsidRDefault="00FA5FFA" w:rsidP="00334199">
            <w:pPr>
              <w:pStyle w:val="Corpodetexto"/>
              <w:spacing w:line="480" w:lineRule="auto"/>
              <w:jc w:val="center"/>
            </w:pPr>
            <w:r w:rsidRPr="00FB44C4">
              <w:t>2</w:t>
            </w:r>
          </w:p>
        </w:tc>
      </w:tr>
      <w:tr w:rsidR="002701D8" w:rsidRPr="00FB44C4" w:rsidTr="00E172B9">
        <w:trPr>
          <w:trHeight w:hRule="exact" w:val="397"/>
          <w:jc w:val="center"/>
        </w:trPr>
        <w:tc>
          <w:tcPr>
            <w:tcW w:w="4311" w:type="dxa"/>
          </w:tcPr>
          <w:p w:rsidR="002701D8" w:rsidRPr="002701D8" w:rsidRDefault="002701D8" w:rsidP="00735FF1">
            <w:pPr>
              <w:pStyle w:val="Corpodetexto"/>
              <w:spacing w:line="480" w:lineRule="auto"/>
              <w:rPr>
                <w:highlight w:val="yellow"/>
              </w:rPr>
            </w:pPr>
            <w:r w:rsidRPr="002701D8">
              <w:rPr>
                <w:highlight w:val="yellow"/>
              </w:rPr>
              <w:t xml:space="preserve">Protection, </w:t>
            </w:r>
            <w:r w:rsidR="00735FF1">
              <w:rPr>
                <w:highlight w:val="yellow"/>
              </w:rPr>
              <w:t>s</w:t>
            </w:r>
            <w:r w:rsidRPr="002701D8">
              <w:rPr>
                <w:highlight w:val="yellow"/>
              </w:rPr>
              <w:t xml:space="preserve">hielding and </w:t>
            </w:r>
            <w:r w:rsidR="00735FF1">
              <w:rPr>
                <w:highlight w:val="yellow"/>
              </w:rPr>
              <w:t>f</w:t>
            </w:r>
            <w:r w:rsidRPr="002701D8">
              <w:rPr>
                <w:highlight w:val="yellow"/>
              </w:rPr>
              <w:t>eeding gas</w:t>
            </w:r>
          </w:p>
        </w:tc>
        <w:tc>
          <w:tcPr>
            <w:tcW w:w="4270" w:type="dxa"/>
          </w:tcPr>
          <w:p w:rsidR="002701D8" w:rsidRPr="00FB44C4" w:rsidRDefault="002701D8" w:rsidP="00334199">
            <w:pPr>
              <w:pStyle w:val="Corpodetexto"/>
              <w:spacing w:line="480" w:lineRule="auto"/>
              <w:jc w:val="center"/>
            </w:pPr>
            <w:r w:rsidRPr="002701D8">
              <w:rPr>
                <w:highlight w:val="yellow"/>
              </w:rPr>
              <w:t>Argon</w:t>
            </w:r>
          </w:p>
        </w:tc>
      </w:tr>
      <w:tr w:rsidR="00FA5FFA" w:rsidRPr="00FB44C4" w:rsidTr="00E172B9">
        <w:trPr>
          <w:trHeight w:hRule="exact" w:val="397"/>
          <w:jc w:val="center"/>
        </w:trPr>
        <w:tc>
          <w:tcPr>
            <w:tcW w:w="4311" w:type="dxa"/>
          </w:tcPr>
          <w:p w:rsidR="00FA5FFA" w:rsidRPr="00FB44C4" w:rsidRDefault="00FA5FFA" w:rsidP="00334199">
            <w:pPr>
              <w:pStyle w:val="Corpodetexto"/>
              <w:spacing w:line="480" w:lineRule="auto"/>
            </w:pPr>
            <w:r w:rsidRPr="00FB44C4">
              <w:t>Main arc current (A)</w:t>
            </w:r>
          </w:p>
        </w:tc>
        <w:tc>
          <w:tcPr>
            <w:tcW w:w="4270" w:type="dxa"/>
          </w:tcPr>
          <w:p w:rsidR="00FA5FFA" w:rsidRPr="00FB44C4" w:rsidRDefault="00FA5FFA" w:rsidP="00334199">
            <w:pPr>
              <w:pStyle w:val="Corpodetexto"/>
              <w:spacing w:line="480" w:lineRule="auto"/>
              <w:jc w:val="center"/>
            </w:pPr>
            <w:r w:rsidRPr="00FB44C4">
              <w:t>120, 150, 180</w:t>
            </w:r>
          </w:p>
        </w:tc>
      </w:tr>
      <w:tr w:rsidR="00FA5FFA" w:rsidRPr="00FB44C4" w:rsidTr="00E172B9">
        <w:trPr>
          <w:trHeight w:hRule="exact" w:val="397"/>
          <w:jc w:val="center"/>
        </w:trPr>
        <w:tc>
          <w:tcPr>
            <w:tcW w:w="4311" w:type="dxa"/>
          </w:tcPr>
          <w:p w:rsidR="00FA5FFA" w:rsidRPr="00FB44C4" w:rsidRDefault="00FA5FFA" w:rsidP="00334199">
            <w:pPr>
              <w:pStyle w:val="Corpodetexto"/>
              <w:spacing w:line="480" w:lineRule="auto"/>
            </w:pPr>
            <w:r w:rsidRPr="00FB44C4">
              <w:t>Powder feed rate</w:t>
            </w:r>
          </w:p>
        </w:tc>
        <w:tc>
          <w:tcPr>
            <w:tcW w:w="4270" w:type="dxa"/>
          </w:tcPr>
          <w:p w:rsidR="00FA5FFA" w:rsidRPr="00FB44C4" w:rsidRDefault="00FA5FFA" w:rsidP="00334199">
            <w:pPr>
              <w:pStyle w:val="Corpodetexto"/>
              <w:spacing w:line="480" w:lineRule="auto"/>
              <w:jc w:val="center"/>
            </w:pPr>
            <w:r w:rsidRPr="00FB44C4">
              <w:t>Constant in volume</w:t>
            </w:r>
          </w:p>
        </w:tc>
      </w:tr>
      <w:tr w:rsidR="00FA5FFA" w:rsidRPr="00FB44C4" w:rsidTr="00E172B9">
        <w:trPr>
          <w:trHeight w:hRule="exact" w:val="397"/>
          <w:jc w:val="center"/>
        </w:trPr>
        <w:tc>
          <w:tcPr>
            <w:tcW w:w="4311" w:type="dxa"/>
          </w:tcPr>
          <w:p w:rsidR="00FA5FFA" w:rsidRPr="00FB44C4" w:rsidRDefault="00FA5FFA" w:rsidP="00334199">
            <w:pPr>
              <w:pStyle w:val="Corpodetexto"/>
              <w:spacing w:line="480" w:lineRule="auto"/>
            </w:pPr>
            <w:r w:rsidRPr="00FB44C4">
              <w:t>Travel speed (mm/min)</w:t>
            </w:r>
          </w:p>
        </w:tc>
        <w:tc>
          <w:tcPr>
            <w:tcW w:w="4270" w:type="dxa"/>
          </w:tcPr>
          <w:p w:rsidR="00FA5FFA" w:rsidRPr="00FB44C4" w:rsidRDefault="00FA5FFA" w:rsidP="00334199">
            <w:pPr>
              <w:pStyle w:val="Corpodetexto"/>
              <w:spacing w:line="480" w:lineRule="auto"/>
              <w:jc w:val="center"/>
            </w:pPr>
            <w:r w:rsidRPr="00FB44C4">
              <w:t>100</w:t>
            </w:r>
          </w:p>
        </w:tc>
      </w:tr>
      <w:tr w:rsidR="00FA5FFA" w:rsidRPr="00FB44C4" w:rsidTr="00E172B9">
        <w:trPr>
          <w:trHeight w:hRule="exact" w:val="397"/>
          <w:jc w:val="center"/>
        </w:trPr>
        <w:tc>
          <w:tcPr>
            <w:tcW w:w="4311" w:type="dxa"/>
          </w:tcPr>
          <w:p w:rsidR="00FA5FFA" w:rsidRPr="00FB44C4" w:rsidRDefault="00FA5FFA" w:rsidP="00334199">
            <w:pPr>
              <w:pStyle w:val="Corpodetexto"/>
              <w:spacing w:line="480" w:lineRule="auto"/>
            </w:pPr>
            <w:r w:rsidRPr="00FB44C4">
              <w:t>Distance torch / substrate (mm)</w:t>
            </w:r>
          </w:p>
        </w:tc>
        <w:tc>
          <w:tcPr>
            <w:tcW w:w="4270" w:type="dxa"/>
          </w:tcPr>
          <w:p w:rsidR="00FA5FFA" w:rsidRPr="00FB44C4" w:rsidRDefault="00FA5FFA" w:rsidP="00334199">
            <w:pPr>
              <w:pStyle w:val="Corpodetexto"/>
              <w:spacing w:line="480" w:lineRule="auto"/>
              <w:jc w:val="center"/>
            </w:pPr>
            <w:r w:rsidRPr="00FB44C4">
              <w:t>10</w:t>
            </w:r>
          </w:p>
        </w:tc>
      </w:tr>
      <w:tr w:rsidR="00FA5FFA" w:rsidRPr="00FB44C4" w:rsidTr="00E172B9">
        <w:trPr>
          <w:trHeight w:hRule="exact" w:val="397"/>
          <w:jc w:val="center"/>
        </w:trPr>
        <w:tc>
          <w:tcPr>
            <w:tcW w:w="4311" w:type="dxa"/>
          </w:tcPr>
          <w:p w:rsidR="00FA5FFA" w:rsidRPr="00FB44C4" w:rsidRDefault="00FA5FFA" w:rsidP="00334199">
            <w:pPr>
              <w:pStyle w:val="Corpodetexto"/>
              <w:spacing w:line="480" w:lineRule="auto"/>
            </w:pPr>
            <w:r w:rsidRPr="00FB44C4">
              <w:t>Electrode diameter  (mm)</w:t>
            </w:r>
          </w:p>
        </w:tc>
        <w:tc>
          <w:tcPr>
            <w:tcW w:w="4270" w:type="dxa"/>
          </w:tcPr>
          <w:p w:rsidR="00FA5FFA" w:rsidRPr="00FB44C4" w:rsidRDefault="002701D8" w:rsidP="00334199">
            <w:pPr>
              <w:pStyle w:val="Corpodetexto"/>
              <w:spacing w:line="480" w:lineRule="auto"/>
              <w:jc w:val="center"/>
            </w:pPr>
            <w:r>
              <w:t>3</w:t>
            </w:r>
            <w:r w:rsidRPr="002701D8">
              <w:rPr>
                <w:highlight w:val="yellow"/>
              </w:rPr>
              <w:t>.</w:t>
            </w:r>
            <w:r w:rsidR="00FA5FFA" w:rsidRPr="00FB44C4">
              <w:t>125</w:t>
            </w:r>
          </w:p>
        </w:tc>
      </w:tr>
    </w:tbl>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Pr="00C41355" w:rsidRDefault="00FA5FFA" w:rsidP="006F70B9">
      <w:pPr>
        <w:spacing w:line="480" w:lineRule="auto"/>
        <w:jc w:val="both"/>
        <w:rPr>
          <w:b/>
        </w:rPr>
      </w:pPr>
      <w:r w:rsidRPr="00C41355">
        <w:rPr>
          <w:b/>
        </w:rPr>
        <w:lastRenderedPageBreak/>
        <w:t xml:space="preserve">Table </w:t>
      </w:r>
      <w:r w:rsidR="00C41355">
        <w:rPr>
          <w:b/>
        </w:rPr>
        <w:t>3</w:t>
      </w:r>
      <w:r w:rsidRPr="00C41355">
        <w:rPr>
          <w:b/>
        </w:rPr>
        <w:t xml:space="preserve"> </w:t>
      </w:r>
      <w:r w:rsidRPr="00653459">
        <w:rPr>
          <w:b/>
          <w:highlight w:val="yellow"/>
        </w:rPr>
        <w:t xml:space="preserve">Geometry and dilution </w:t>
      </w:r>
      <w:r w:rsidR="00036F23" w:rsidRPr="00653459">
        <w:rPr>
          <w:b/>
          <w:highlight w:val="yellow"/>
        </w:rPr>
        <w:t>of welding track</w:t>
      </w:r>
      <w:r w:rsidRPr="00653459">
        <w:rPr>
          <w:b/>
          <w:highlight w:val="yellow"/>
        </w:rPr>
        <w:t>.</w:t>
      </w:r>
    </w:p>
    <w:tbl>
      <w:tblPr>
        <w:tblW w:w="0" w:type="auto"/>
        <w:tblInd w:w="675" w:type="dxa"/>
        <w:tblBorders>
          <w:top w:val="single" w:sz="4" w:space="0" w:color="auto"/>
          <w:bottom w:val="single" w:sz="4" w:space="0" w:color="auto"/>
        </w:tblBorders>
        <w:tblLook w:val="04A0"/>
      </w:tblPr>
      <w:tblGrid>
        <w:gridCol w:w="1560"/>
        <w:gridCol w:w="2693"/>
        <w:gridCol w:w="1134"/>
        <w:gridCol w:w="1134"/>
        <w:gridCol w:w="1134"/>
      </w:tblGrid>
      <w:tr w:rsidR="00FA5FFA" w:rsidRPr="00FB44C4" w:rsidTr="007F0EE5">
        <w:trPr>
          <w:trHeight w:hRule="exact" w:val="397"/>
        </w:trPr>
        <w:tc>
          <w:tcPr>
            <w:tcW w:w="1560" w:type="dxa"/>
            <w:tcBorders>
              <w:top w:val="single" w:sz="4" w:space="0" w:color="auto"/>
              <w:bottom w:val="single" w:sz="4" w:space="0" w:color="auto"/>
            </w:tcBorders>
            <w:shd w:val="clear" w:color="auto" w:fill="auto"/>
          </w:tcPr>
          <w:p w:rsidR="00FA5FFA" w:rsidRPr="00FB44C4" w:rsidRDefault="00FA5FFA" w:rsidP="00334199">
            <w:pPr>
              <w:pStyle w:val="Default"/>
              <w:spacing w:line="480" w:lineRule="auto"/>
              <w:jc w:val="center"/>
              <w:rPr>
                <w:rFonts w:ascii="Times New Roman" w:hAnsi="Times New Roman" w:cs="Times New Roman"/>
                <w:bCs/>
              </w:rPr>
            </w:pPr>
            <w:proofErr w:type="spellStart"/>
            <w:r w:rsidRPr="00FB44C4">
              <w:rPr>
                <w:rFonts w:ascii="Times New Roman" w:hAnsi="Times New Roman" w:cs="Times New Roman"/>
                <w:b/>
                <w:bCs/>
              </w:rPr>
              <w:t>Substrate</w:t>
            </w:r>
            <w:proofErr w:type="spellEnd"/>
          </w:p>
        </w:tc>
        <w:tc>
          <w:tcPr>
            <w:tcW w:w="2693" w:type="dxa"/>
            <w:tcBorders>
              <w:top w:val="single" w:sz="4" w:space="0" w:color="auto"/>
              <w:bottom w:val="single" w:sz="4" w:space="0" w:color="auto"/>
            </w:tcBorders>
            <w:shd w:val="clear" w:color="auto" w:fill="auto"/>
          </w:tcPr>
          <w:p w:rsidR="00FA5FFA" w:rsidRPr="00FB44C4" w:rsidRDefault="00FA5FFA" w:rsidP="006F70B9">
            <w:pPr>
              <w:pStyle w:val="Default"/>
              <w:spacing w:line="480" w:lineRule="auto"/>
              <w:rPr>
                <w:rFonts w:ascii="Times New Roman" w:hAnsi="Times New Roman" w:cs="Times New Roman"/>
                <w:b/>
                <w:bCs/>
              </w:rPr>
            </w:pPr>
            <w:proofErr w:type="spellStart"/>
            <w:r>
              <w:rPr>
                <w:rFonts w:ascii="Times New Roman" w:hAnsi="Times New Roman" w:cs="Times New Roman"/>
                <w:b/>
                <w:bCs/>
              </w:rPr>
              <w:t>Parameter</w:t>
            </w:r>
            <w:proofErr w:type="spellEnd"/>
          </w:p>
        </w:tc>
        <w:tc>
          <w:tcPr>
            <w:tcW w:w="1134" w:type="dxa"/>
            <w:tcBorders>
              <w:top w:val="single" w:sz="4" w:space="0" w:color="auto"/>
              <w:bottom w:val="single" w:sz="4" w:space="0" w:color="auto"/>
            </w:tcBorders>
            <w:shd w:val="clear" w:color="auto" w:fill="auto"/>
            <w:vAlign w:val="center"/>
          </w:tcPr>
          <w:p w:rsidR="00FA5FFA" w:rsidRPr="00FB44C4" w:rsidRDefault="00FA5FFA" w:rsidP="00334199">
            <w:pPr>
              <w:pStyle w:val="Default"/>
              <w:spacing w:line="480" w:lineRule="auto"/>
              <w:jc w:val="center"/>
              <w:rPr>
                <w:rFonts w:ascii="Times New Roman" w:hAnsi="Times New Roman" w:cs="Times New Roman"/>
                <w:b/>
                <w:bCs/>
              </w:rPr>
            </w:pPr>
            <w:r w:rsidRPr="00FB44C4">
              <w:rPr>
                <w:rFonts w:ascii="Times New Roman" w:hAnsi="Times New Roman" w:cs="Times New Roman"/>
                <w:b/>
                <w:bCs/>
              </w:rPr>
              <w:t>120 A</w:t>
            </w:r>
          </w:p>
        </w:tc>
        <w:tc>
          <w:tcPr>
            <w:tcW w:w="1134" w:type="dxa"/>
            <w:tcBorders>
              <w:top w:val="single" w:sz="4" w:space="0" w:color="auto"/>
              <w:bottom w:val="single" w:sz="4" w:space="0" w:color="auto"/>
            </w:tcBorders>
            <w:shd w:val="clear" w:color="auto" w:fill="auto"/>
            <w:vAlign w:val="center"/>
          </w:tcPr>
          <w:p w:rsidR="00FA5FFA" w:rsidRPr="00FB44C4" w:rsidRDefault="00FA5FFA" w:rsidP="00334199">
            <w:pPr>
              <w:pStyle w:val="Default"/>
              <w:spacing w:line="480" w:lineRule="auto"/>
              <w:jc w:val="center"/>
              <w:rPr>
                <w:rFonts w:ascii="Times New Roman" w:hAnsi="Times New Roman" w:cs="Times New Roman"/>
                <w:b/>
                <w:bCs/>
              </w:rPr>
            </w:pPr>
            <w:r w:rsidRPr="00FB44C4">
              <w:rPr>
                <w:rFonts w:ascii="Times New Roman" w:hAnsi="Times New Roman" w:cs="Times New Roman"/>
                <w:b/>
                <w:bCs/>
              </w:rPr>
              <w:t>150 A</w:t>
            </w:r>
          </w:p>
        </w:tc>
        <w:tc>
          <w:tcPr>
            <w:tcW w:w="1134" w:type="dxa"/>
            <w:tcBorders>
              <w:top w:val="single" w:sz="4" w:space="0" w:color="auto"/>
              <w:bottom w:val="single" w:sz="4" w:space="0" w:color="auto"/>
            </w:tcBorders>
            <w:shd w:val="clear" w:color="auto" w:fill="auto"/>
            <w:vAlign w:val="center"/>
          </w:tcPr>
          <w:p w:rsidR="00FA5FFA" w:rsidRPr="00FB44C4" w:rsidRDefault="00FA5FFA" w:rsidP="00334199">
            <w:pPr>
              <w:pStyle w:val="Default"/>
              <w:spacing w:line="480" w:lineRule="auto"/>
              <w:jc w:val="center"/>
              <w:rPr>
                <w:rFonts w:ascii="Times New Roman" w:hAnsi="Times New Roman" w:cs="Times New Roman"/>
                <w:b/>
                <w:bCs/>
              </w:rPr>
            </w:pPr>
            <w:r w:rsidRPr="00FB44C4">
              <w:rPr>
                <w:rFonts w:ascii="Times New Roman" w:hAnsi="Times New Roman" w:cs="Times New Roman"/>
                <w:b/>
                <w:bCs/>
              </w:rPr>
              <w:t>180 A</w:t>
            </w:r>
          </w:p>
        </w:tc>
      </w:tr>
      <w:tr w:rsidR="00FA5FFA" w:rsidRPr="00FB44C4" w:rsidTr="007F0EE5">
        <w:trPr>
          <w:trHeight w:hRule="exact" w:val="397"/>
        </w:trPr>
        <w:tc>
          <w:tcPr>
            <w:tcW w:w="1560" w:type="dxa"/>
            <w:vMerge w:val="restart"/>
            <w:tcBorders>
              <w:top w:val="single" w:sz="4" w:space="0" w:color="auto"/>
            </w:tcBorders>
            <w:shd w:val="clear" w:color="auto" w:fill="auto"/>
            <w:vAlign w:val="center"/>
          </w:tcPr>
          <w:p w:rsidR="00FA5FFA" w:rsidRPr="00FB44C4" w:rsidRDefault="00FA5FFA" w:rsidP="00334199">
            <w:pPr>
              <w:pStyle w:val="Default"/>
              <w:spacing w:line="480" w:lineRule="auto"/>
              <w:jc w:val="center"/>
              <w:rPr>
                <w:rFonts w:ascii="Times New Roman" w:hAnsi="Times New Roman" w:cs="Times New Roman"/>
                <w:bCs/>
              </w:rPr>
            </w:pPr>
            <w:r w:rsidRPr="00FB44C4">
              <w:rPr>
                <w:rFonts w:ascii="Times New Roman" w:hAnsi="Times New Roman" w:cs="Times New Roman"/>
                <w:bCs/>
              </w:rPr>
              <w:t>AISI 316L</w:t>
            </w:r>
          </w:p>
        </w:tc>
        <w:tc>
          <w:tcPr>
            <w:tcW w:w="2693" w:type="dxa"/>
            <w:tcBorders>
              <w:top w:val="single" w:sz="4" w:space="0" w:color="auto"/>
            </w:tcBorders>
            <w:shd w:val="clear" w:color="auto" w:fill="auto"/>
          </w:tcPr>
          <w:p w:rsidR="00FA5FFA" w:rsidRPr="00FB44C4" w:rsidRDefault="00FA5FFA" w:rsidP="006F70B9">
            <w:pPr>
              <w:pStyle w:val="Default"/>
              <w:spacing w:line="480" w:lineRule="auto"/>
              <w:rPr>
                <w:rFonts w:ascii="Times New Roman" w:hAnsi="Times New Roman" w:cs="Times New Roman"/>
                <w:bCs/>
              </w:rPr>
            </w:pPr>
            <w:proofErr w:type="spellStart"/>
            <w:r w:rsidRPr="00FB44C4">
              <w:rPr>
                <w:rFonts w:ascii="Times New Roman" w:hAnsi="Times New Roman" w:cs="Times New Roman"/>
                <w:bCs/>
              </w:rPr>
              <w:t>Dilution</w:t>
            </w:r>
            <w:proofErr w:type="spellEnd"/>
            <w:r w:rsidRPr="00FB44C4">
              <w:rPr>
                <w:rFonts w:ascii="Times New Roman" w:hAnsi="Times New Roman" w:cs="Times New Roman"/>
                <w:bCs/>
              </w:rPr>
              <w:t xml:space="preserve"> (%)</w:t>
            </w:r>
          </w:p>
        </w:tc>
        <w:tc>
          <w:tcPr>
            <w:tcW w:w="1134" w:type="dxa"/>
            <w:tcBorders>
              <w:top w:val="single" w:sz="4" w:space="0" w:color="auto"/>
            </w:tcBorders>
            <w:shd w:val="clear" w:color="auto" w:fill="auto"/>
            <w:vAlign w:val="center"/>
          </w:tcPr>
          <w:p w:rsidR="00FA5FFA" w:rsidRPr="00FB44C4" w:rsidRDefault="00FA5FFA" w:rsidP="00334199">
            <w:pPr>
              <w:pStyle w:val="Default"/>
              <w:spacing w:line="480" w:lineRule="auto"/>
              <w:jc w:val="center"/>
              <w:rPr>
                <w:rFonts w:ascii="Times New Roman" w:hAnsi="Times New Roman" w:cs="Times New Roman"/>
                <w:bCs/>
              </w:rPr>
            </w:pPr>
            <w:r w:rsidRPr="00FB44C4">
              <w:rPr>
                <w:rFonts w:ascii="Times New Roman" w:hAnsi="Times New Roman" w:cs="Times New Roman"/>
                <w:bCs/>
              </w:rPr>
              <w:t>18</w:t>
            </w:r>
          </w:p>
        </w:tc>
        <w:tc>
          <w:tcPr>
            <w:tcW w:w="1134" w:type="dxa"/>
            <w:tcBorders>
              <w:top w:val="single" w:sz="4" w:space="0" w:color="auto"/>
            </w:tcBorders>
            <w:shd w:val="clear" w:color="auto" w:fill="auto"/>
            <w:vAlign w:val="center"/>
          </w:tcPr>
          <w:p w:rsidR="00FA5FFA" w:rsidRPr="00FB44C4" w:rsidRDefault="00FA5FFA" w:rsidP="00334199">
            <w:pPr>
              <w:pStyle w:val="Default"/>
              <w:spacing w:line="480" w:lineRule="auto"/>
              <w:jc w:val="center"/>
              <w:rPr>
                <w:rFonts w:ascii="Times New Roman" w:hAnsi="Times New Roman" w:cs="Times New Roman"/>
                <w:bCs/>
              </w:rPr>
            </w:pPr>
            <w:r w:rsidRPr="00FB44C4">
              <w:rPr>
                <w:rFonts w:ascii="Times New Roman" w:hAnsi="Times New Roman" w:cs="Times New Roman"/>
                <w:bCs/>
              </w:rPr>
              <w:t>2</w:t>
            </w:r>
            <w:r w:rsidR="00B720CA">
              <w:rPr>
                <w:rFonts w:ascii="Times New Roman" w:hAnsi="Times New Roman" w:cs="Times New Roman"/>
                <w:bCs/>
              </w:rPr>
              <w:t>6</w:t>
            </w:r>
          </w:p>
        </w:tc>
        <w:tc>
          <w:tcPr>
            <w:tcW w:w="1134" w:type="dxa"/>
            <w:tcBorders>
              <w:top w:val="single" w:sz="4" w:space="0" w:color="auto"/>
            </w:tcBorders>
            <w:shd w:val="clear" w:color="auto" w:fill="auto"/>
            <w:vAlign w:val="center"/>
          </w:tcPr>
          <w:p w:rsidR="00FA5FFA" w:rsidRPr="00FB44C4" w:rsidRDefault="00FA5FFA" w:rsidP="00334199">
            <w:pPr>
              <w:pStyle w:val="Default"/>
              <w:spacing w:line="480" w:lineRule="auto"/>
              <w:jc w:val="center"/>
              <w:rPr>
                <w:rFonts w:ascii="Times New Roman" w:hAnsi="Times New Roman" w:cs="Times New Roman"/>
                <w:bCs/>
              </w:rPr>
            </w:pPr>
            <w:r w:rsidRPr="00FB44C4">
              <w:rPr>
                <w:rFonts w:ascii="Times New Roman" w:hAnsi="Times New Roman" w:cs="Times New Roman"/>
                <w:bCs/>
              </w:rPr>
              <w:t>3</w:t>
            </w:r>
            <w:r w:rsidR="00B720CA">
              <w:rPr>
                <w:rFonts w:ascii="Times New Roman" w:hAnsi="Times New Roman" w:cs="Times New Roman"/>
                <w:bCs/>
              </w:rPr>
              <w:t>8</w:t>
            </w:r>
          </w:p>
        </w:tc>
      </w:tr>
      <w:tr w:rsidR="00FA5FFA" w:rsidRPr="00FB44C4" w:rsidTr="007F0EE5">
        <w:trPr>
          <w:trHeight w:hRule="exact" w:val="397"/>
        </w:trPr>
        <w:tc>
          <w:tcPr>
            <w:tcW w:w="1560" w:type="dxa"/>
            <w:vMerge/>
            <w:shd w:val="clear" w:color="auto" w:fill="auto"/>
          </w:tcPr>
          <w:p w:rsidR="00FA5FFA" w:rsidRPr="00FB44C4" w:rsidRDefault="00FA5FFA" w:rsidP="00334199">
            <w:pPr>
              <w:pStyle w:val="Default"/>
              <w:spacing w:line="480" w:lineRule="auto"/>
              <w:jc w:val="center"/>
              <w:rPr>
                <w:rFonts w:ascii="Times New Roman" w:hAnsi="Times New Roman" w:cs="Times New Roman"/>
                <w:bCs/>
              </w:rPr>
            </w:pPr>
          </w:p>
        </w:tc>
        <w:tc>
          <w:tcPr>
            <w:tcW w:w="2693" w:type="dxa"/>
            <w:shd w:val="clear" w:color="auto" w:fill="auto"/>
          </w:tcPr>
          <w:p w:rsidR="00FA5FFA" w:rsidRPr="00FB44C4" w:rsidRDefault="00FA5FFA" w:rsidP="006F70B9">
            <w:pPr>
              <w:spacing w:line="480" w:lineRule="auto"/>
            </w:pPr>
            <w:r w:rsidRPr="00FB44C4">
              <w:rPr>
                <w:bCs/>
              </w:rPr>
              <w:t>Thickness, t (mm)</w:t>
            </w:r>
          </w:p>
        </w:tc>
        <w:tc>
          <w:tcPr>
            <w:tcW w:w="1134" w:type="dxa"/>
            <w:shd w:val="clear" w:color="auto" w:fill="auto"/>
            <w:vAlign w:val="center"/>
          </w:tcPr>
          <w:p w:rsidR="00FA5FFA" w:rsidRPr="00FB44C4" w:rsidRDefault="00C32942" w:rsidP="00334199">
            <w:pPr>
              <w:pStyle w:val="Default"/>
              <w:spacing w:line="480" w:lineRule="auto"/>
              <w:jc w:val="center"/>
              <w:rPr>
                <w:rFonts w:ascii="Times New Roman" w:hAnsi="Times New Roman" w:cs="Times New Roman"/>
                <w:bCs/>
              </w:rPr>
            </w:pPr>
            <w:r>
              <w:rPr>
                <w:rFonts w:ascii="Times New Roman" w:hAnsi="Times New Roman" w:cs="Times New Roman"/>
                <w:bCs/>
              </w:rPr>
              <w:t>2</w:t>
            </w:r>
            <w:r w:rsidRPr="00C32942">
              <w:rPr>
                <w:rFonts w:ascii="Times New Roman" w:hAnsi="Times New Roman" w:cs="Times New Roman"/>
                <w:bCs/>
                <w:highlight w:val="yellow"/>
              </w:rPr>
              <w:t>.</w:t>
            </w:r>
            <w:r w:rsidR="00FA5FFA" w:rsidRPr="00FB44C4">
              <w:rPr>
                <w:rFonts w:ascii="Times New Roman" w:hAnsi="Times New Roman" w:cs="Times New Roman"/>
                <w:bCs/>
              </w:rPr>
              <w:t>7</w:t>
            </w:r>
          </w:p>
        </w:tc>
        <w:tc>
          <w:tcPr>
            <w:tcW w:w="1134" w:type="dxa"/>
            <w:shd w:val="clear" w:color="auto" w:fill="auto"/>
            <w:vAlign w:val="center"/>
          </w:tcPr>
          <w:p w:rsidR="00FA5FFA" w:rsidRPr="00FB44C4" w:rsidRDefault="00C32942" w:rsidP="00334199">
            <w:pPr>
              <w:pStyle w:val="Default"/>
              <w:spacing w:line="480" w:lineRule="auto"/>
              <w:jc w:val="center"/>
              <w:rPr>
                <w:rFonts w:ascii="Times New Roman" w:hAnsi="Times New Roman" w:cs="Times New Roman"/>
                <w:bCs/>
              </w:rPr>
            </w:pPr>
            <w:r>
              <w:rPr>
                <w:rFonts w:ascii="Times New Roman" w:hAnsi="Times New Roman" w:cs="Times New Roman"/>
                <w:bCs/>
              </w:rPr>
              <w:t>2</w:t>
            </w:r>
            <w:r w:rsidRPr="00C32942">
              <w:rPr>
                <w:rFonts w:ascii="Times New Roman" w:hAnsi="Times New Roman" w:cs="Times New Roman"/>
                <w:bCs/>
                <w:highlight w:val="yellow"/>
              </w:rPr>
              <w:t>.</w:t>
            </w:r>
            <w:r w:rsidR="00FA5FFA" w:rsidRPr="00FB44C4">
              <w:rPr>
                <w:rFonts w:ascii="Times New Roman" w:hAnsi="Times New Roman" w:cs="Times New Roman"/>
                <w:bCs/>
              </w:rPr>
              <w:t>4</w:t>
            </w:r>
          </w:p>
        </w:tc>
        <w:tc>
          <w:tcPr>
            <w:tcW w:w="1134" w:type="dxa"/>
            <w:shd w:val="clear" w:color="auto" w:fill="auto"/>
            <w:vAlign w:val="center"/>
          </w:tcPr>
          <w:p w:rsidR="00FA5FFA" w:rsidRPr="00FB44C4" w:rsidRDefault="00C32942" w:rsidP="00334199">
            <w:pPr>
              <w:pStyle w:val="Default"/>
              <w:spacing w:line="480" w:lineRule="auto"/>
              <w:jc w:val="center"/>
              <w:rPr>
                <w:rFonts w:ascii="Times New Roman" w:hAnsi="Times New Roman" w:cs="Times New Roman"/>
                <w:bCs/>
              </w:rPr>
            </w:pPr>
            <w:r>
              <w:rPr>
                <w:rFonts w:ascii="Times New Roman" w:hAnsi="Times New Roman" w:cs="Times New Roman"/>
                <w:bCs/>
              </w:rPr>
              <w:t>2</w:t>
            </w:r>
            <w:r w:rsidRPr="00C32942">
              <w:rPr>
                <w:rFonts w:ascii="Times New Roman" w:hAnsi="Times New Roman" w:cs="Times New Roman"/>
                <w:bCs/>
                <w:highlight w:val="yellow"/>
              </w:rPr>
              <w:t>.</w:t>
            </w:r>
            <w:r w:rsidR="00FA5FFA" w:rsidRPr="00FB44C4">
              <w:rPr>
                <w:rFonts w:ascii="Times New Roman" w:hAnsi="Times New Roman" w:cs="Times New Roman"/>
                <w:bCs/>
              </w:rPr>
              <w:t>1</w:t>
            </w:r>
          </w:p>
        </w:tc>
      </w:tr>
      <w:tr w:rsidR="00FA5FFA" w:rsidRPr="00FB44C4" w:rsidTr="007F0EE5">
        <w:trPr>
          <w:trHeight w:hRule="exact" w:val="397"/>
        </w:trPr>
        <w:tc>
          <w:tcPr>
            <w:tcW w:w="1560" w:type="dxa"/>
            <w:vMerge/>
            <w:shd w:val="clear" w:color="auto" w:fill="auto"/>
          </w:tcPr>
          <w:p w:rsidR="00FA5FFA" w:rsidRPr="00FB44C4" w:rsidRDefault="00FA5FFA" w:rsidP="00334199">
            <w:pPr>
              <w:pStyle w:val="Default"/>
              <w:spacing w:line="480" w:lineRule="auto"/>
              <w:jc w:val="center"/>
              <w:rPr>
                <w:rFonts w:ascii="Times New Roman" w:hAnsi="Times New Roman" w:cs="Times New Roman"/>
                <w:bCs/>
              </w:rPr>
            </w:pPr>
          </w:p>
        </w:tc>
        <w:tc>
          <w:tcPr>
            <w:tcW w:w="2693" w:type="dxa"/>
            <w:shd w:val="clear" w:color="auto" w:fill="auto"/>
          </w:tcPr>
          <w:p w:rsidR="00FA5FFA" w:rsidRPr="00FB44C4" w:rsidRDefault="00FA5FFA" w:rsidP="006F70B9">
            <w:pPr>
              <w:spacing w:line="480" w:lineRule="auto"/>
            </w:pPr>
            <w:r w:rsidRPr="00FB44C4">
              <w:rPr>
                <w:bCs/>
              </w:rPr>
              <w:t>Width, W (mm)</w:t>
            </w:r>
          </w:p>
        </w:tc>
        <w:tc>
          <w:tcPr>
            <w:tcW w:w="1134" w:type="dxa"/>
            <w:shd w:val="clear" w:color="auto" w:fill="auto"/>
            <w:vAlign w:val="center"/>
          </w:tcPr>
          <w:p w:rsidR="00FA5FFA" w:rsidRPr="00FB44C4" w:rsidRDefault="00C32942" w:rsidP="00334199">
            <w:pPr>
              <w:pStyle w:val="Default"/>
              <w:spacing w:line="480" w:lineRule="auto"/>
              <w:jc w:val="center"/>
              <w:rPr>
                <w:rFonts w:ascii="Times New Roman" w:hAnsi="Times New Roman" w:cs="Times New Roman"/>
                <w:bCs/>
              </w:rPr>
            </w:pPr>
            <w:r>
              <w:rPr>
                <w:rFonts w:ascii="Times New Roman" w:hAnsi="Times New Roman" w:cs="Times New Roman"/>
                <w:bCs/>
              </w:rPr>
              <w:t>7</w:t>
            </w:r>
            <w:r w:rsidRPr="00C32942">
              <w:rPr>
                <w:rFonts w:ascii="Times New Roman" w:hAnsi="Times New Roman" w:cs="Times New Roman"/>
                <w:bCs/>
                <w:highlight w:val="yellow"/>
              </w:rPr>
              <w:t>.</w:t>
            </w:r>
            <w:r w:rsidR="00FA5FFA" w:rsidRPr="00FB44C4">
              <w:rPr>
                <w:rFonts w:ascii="Times New Roman" w:hAnsi="Times New Roman" w:cs="Times New Roman"/>
                <w:bCs/>
              </w:rPr>
              <w:t>7</w:t>
            </w:r>
          </w:p>
        </w:tc>
        <w:tc>
          <w:tcPr>
            <w:tcW w:w="1134" w:type="dxa"/>
            <w:shd w:val="clear" w:color="auto" w:fill="auto"/>
            <w:vAlign w:val="center"/>
          </w:tcPr>
          <w:p w:rsidR="00FA5FFA" w:rsidRPr="00FB44C4" w:rsidRDefault="00C32942" w:rsidP="00334199">
            <w:pPr>
              <w:pStyle w:val="Default"/>
              <w:spacing w:line="480" w:lineRule="auto"/>
              <w:jc w:val="center"/>
              <w:rPr>
                <w:rFonts w:ascii="Times New Roman" w:hAnsi="Times New Roman" w:cs="Times New Roman"/>
                <w:bCs/>
              </w:rPr>
            </w:pPr>
            <w:r>
              <w:rPr>
                <w:rFonts w:ascii="Times New Roman" w:hAnsi="Times New Roman" w:cs="Times New Roman"/>
                <w:bCs/>
              </w:rPr>
              <w:t>11</w:t>
            </w:r>
            <w:r w:rsidRPr="00C32942">
              <w:rPr>
                <w:rFonts w:ascii="Times New Roman" w:hAnsi="Times New Roman" w:cs="Times New Roman"/>
                <w:bCs/>
                <w:highlight w:val="yellow"/>
              </w:rPr>
              <w:t>.</w:t>
            </w:r>
            <w:r w:rsidR="00FA5FFA" w:rsidRPr="00FB44C4">
              <w:rPr>
                <w:rFonts w:ascii="Times New Roman" w:hAnsi="Times New Roman" w:cs="Times New Roman"/>
                <w:bCs/>
              </w:rPr>
              <w:t>2</w:t>
            </w:r>
          </w:p>
        </w:tc>
        <w:tc>
          <w:tcPr>
            <w:tcW w:w="1134" w:type="dxa"/>
            <w:shd w:val="clear" w:color="auto" w:fill="auto"/>
            <w:vAlign w:val="center"/>
          </w:tcPr>
          <w:p w:rsidR="00FA5FFA" w:rsidRPr="00FB44C4" w:rsidRDefault="00FA5FFA" w:rsidP="00C32942">
            <w:pPr>
              <w:pStyle w:val="Default"/>
              <w:spacing w:line="480" w:lineRule="auto"/>
              <w:jc w:val="center"/>
              <w:rPr>
                <w:rFonts w:ascii="Times New Roman" w:hAnsi="Times New Roman" w:cs="Times New Roman"/>
                <w:bCs/>
              </w:rPr>
            </w:pPr>
            <w:r w:rsidRPr="00FB44C4">
              <w:rPr>
                <w:rFonts w:ascii="Times New Roman" w:hAnsi="Times New Roman" w:cs="Times New Roman"/>
                <w:bCs/>
              </w:rPr>
              <w:t>12</w:t>
            </w:r>
            <w:r w:rsidR="00C32942" w:rsidRPr="00C32942">
              <w:rPr>
                <w:rFonts w:ascii="Times New Roman" w:hAnsi="Times New Roman" w:cs="Times New Roman"/>
                <w:bCs/>
                <w:highlight w:val="yellow"/>
              </w:rPr>
              <w:t>.</w:t>
            </w:r>
            <w:r w:rsidRPr="00FB44C4">
              <w:rPr>
                <w:rFonts w:ascii="Times New Roman" w:hAnsi="Times New Roman" w:cs="Times New Roman"/>
                <w:bCs/>
              </w:rPr>
              <w:t>0</w:t>
            </w:r>
          </w:p>
        </w:tc>
      </w:tr>
      <w:tr w:rsidR="00FA5FFA" w:rsidRPr="00FB44C4" w:rsidTr="007F0EE5">
        <w:trPr>
          <w:trHeight w:hRule="exact" w:val="397"/>
        </w:trPr>
        <w:tc>
          <w:tcPr>
            <w:tcW w:w="1560" w:type="dxa"/>
            <w:vMerge/>
            <w:shd w:val="clear" w:color="auto" w:fill="auto"/>
          </w:tcPr>
          <w:p w:rsidR="00FA5FFA" w:rsidRPr="00FB44C4" w:rsidRDefault="00FA5FFA" w:rsidP="00334199">
            <w:pPr>
              <w:pStyle w:val="Default"/>
              <w:spacing w:line="480" w:lineRule="auto"/>
              <w:jc w:val="center"/>
              <w:rPr>
                <w:rFonts w:ascii="Times New Roman" w:hAnsi="Times New Roman" w:cs="Times New Roman"/>
                <w:bCs/>
              </w:rPr>
            </w:pPr>
          </w:p>
        </w:tc>
        <w:tc>
          <w:tcPr>
            <w:tcW w:w="2693" w:type="dxa"/>
            <w:shd w:val="clear" w:color="auto" w:fill="auto"/>
          </w:tcPr>
          <w:p w:rsidR="00FA5FFA" w:rsidRPr="00FB44C4" w:rsidRDefault="00FA5FFA" w:rsidP="006F70B9">
            <w:pPr>
              <w:pStyle w:val="Default"/>
              <w:spacing w:line="480" w:lineRule="auto"/>
              <w:rPr>
                <w:rFonts w:ascii="Times New Roman" w:hAnsi="Times New Roman" w:cs="Times New Roman"/>
                <w:bCs/>
              </w:rPr>
            </w:pPr>
            <w:proofErr w:type="spellStart"/>
            <w:r w:rsidRPr="00FB44C4">
              <w:rPr>
                <w:rFonts w:ascii="Times New Roman" w:hAnsi="Times New Roman" w:cs="Times New Roman"/>
                <w:bCs/>
              </w:rPr>
              <w:t>Wettability</w:t>
            </w:r>
            <w:proofErr w:type="spellEnd"/>
            <w:r w:rsidRPr="00FB44C4">
              <w:rPr>
                <w:rFonts w:ascii="Times New Roman" w:hAnsi="Times New Roman" w:cs="Times New Roman"/>
                <w:bCs/>
              </w:rPr>
              <w:t xml:space="preserve"> </w:t>
            </w:r>
            <w:proofErr w:type="spellStart"/>
            <w:r w:rsidRPr="00FB44C4">
              <w:rPr>
                <w:rFonts w:ascii="Times New Roman" w:hAnsi="Times New Roman" w:cs="Times New Roman"/>
                <w:bCs/>
              </w:rPr>
              <w:t>Angle</w:t>
            </w:r>
            <w:proofErr w:type="spellEnd"/>
            <w:r w:rsidRPr="00FB44C4">
              <w:rPr>
                <w:rFonts w:ascii="Times New Roman" w:hAnsi="Times New Roman" w:cs="Times New Roman"/>
                <w:bCs/>
              </w:rPr>
              <w:t xml:space="preserve">, </w:t>
            </w:r>
            <w:r w:rsidRPr="00FB44C4">
              <w:rPr>
                <w:rFonts w:ascii="Times New Roman" w:hAnsi="Times New Roman" w:cs="Times New Roman"/>
                <w:bCs/>
              </w:rPr>
              <w:sym w:font="Symbol" w:char="F051"/>
            </w:r>
            <w:r w:rsidRPr="00FB44C4">
              <w:rPr>
                <w:rFonts w:ascii="Times New Roman" w:hAnsi="Times New Roman" w:cs="Times New Roman"/>
                <w:bCs/>
              </w:rPr>
              <w:t xml:space="preserve"> (</w:t>
            </w:r>
            <w:r w:rsidRPr="00FB44C4">
              <w:rPr>
                <w:rFonts w:ascii="Times New Roman" w:hAnsi="Times New Roman" w:cs="Times New Roman"/>
                <w:bCs/>
                <w:vertAlign w:val="superscript"/>
              </w:rPr>
              <w:t>0</w:t>
            </w:r>
            <w:r w:rsidRPr="00FB44C4">
              <w:rPr>
                <w:rFonts w:ascii="Times New Roman" w:hAnsi="Times New Roman" w:cs="Times New Roman"/>
                <w:bCs/>
              </w:rPr>
              <w:t>)</w:t>
            </w:r>
          </w:p>
        </w:tc>
        <w:tc>
          <w:tcPr>
            <w:tcW w:w="1134" w:type="dxa"/>
            <w:shd w:val="clear" w:color="auto" w:fill="auto"/>
            <w:vAlign w:val="center"/>
          </w:tcPr>
          <w:p w:rsidR="00FA5FFA" w:rsidRPr="00FB44C4" w:rsidRDefault="00FA5FFA" w:rsidP="00C32942">
            <w:pPr>
              <w:pStyle w:val="Default"/>
              <w:spacing w:line="480" w:lineRule="auto"/>
              <w:jc w:val="center"/>
              <w:rPr>
                <w:rFonts w:ascii="Times New Roman" w:hAnsi="Times New Roman" w:cs="Times New Roman"/>
                <w:bCs/>
              </w:rPr>
            </w:pPr>
            <w:r w:rsidRPr="00FB44C4">
              <w:rPr>
                <w:rFonts w:ascii="Times New Roman" w:hAnsi="Times New Roman" w:cs="Times New Roman"/>
                <w:bCs/>
              </w:rPr>
              <w:t>83</w:t>
            </w:r>
            <w:r w:rsidR="00C32942" w:rsidRPr="00C32942">
              <w:rPr>
                <w:rFonts w:ascii="Times New Roman" w:hAnsi="Times New Roman" w:cs="Times New Roman"/>
                <w:bCs/>
                <w:highlight w:val="yellow"/>
              </w:rPr>
              <w:t>.</w:t>
            </w:r>
            <w:r w:rsidRPr="00FB44C4">
              <w:rPr>
                <w:rFonts w:ascii="Times New Roman" w:hAnsi="Times New Roman" w:cs="Times New Roman"/>
                <w:bCs/>
              </w:rPr>
              <w:t>0</w:t>
            </w:r>
          </w:p>
        </w:tc>
        <w:tc>
          <w:tcPr>
            <w:tcW w:w="1134" w:type="dxa"/>
            <w:shd w:val="clear" w:color="auto" w:fill="auto"/>
            <w:vAlign w:val="center"/>
          </w:tcPr>
          <w:p w:rsidR="00FA5FFA" w:rsidRPr="00FB44C4" w:rsidRDefault="00C32942" w:rsidP="00334199">
            <w:pPr>
              <w:pStyle w:val="Default"/>
              <w:spacing w:line="480" w:lineRule="auto"/>
              <w:jc w:val="center"/>
              <w:rPr>
                <w:rFonts w:ascii="Times New Roman" w:hAnsi="Times New Roman" w:cs="Times New Roman"/>
                <w:bCs/>
              </w:rPr>
            </w:pPr>
            <w:r>
              <w:rPr>
                <w:rFonts w:ascii="Times New Roman" w:hAnsi="Times New Roman" w:cs="Times New Roman"/>
                <w:bCs/>
              </w:rPr>
              <w:t>49</w:t>
            </w:r>
            <w:r w:rsidRPr="00C32942">
              <w:rPr>
                <w:rFonts w:ascii="Times New Roman" w:hAnsi="Times New Roman" w:cs="Times New Roman"/>
                <w:bCs/>
                <w:highlight w:val="yellow"/>
              </w:rPr>
              <w:t>.</w:t>
            </w:r>
            <w:r w:rsidR="00FA5FFA" w:rsidRPr="00FB44C4">
              <w:rPr>
                <w:rFonts w:ascii="Times New Roman" w:hAnsi="Times New Roman" w:cs="Times New Roman"/>
                <w:bCs/>
              </w:rPr>
              <w:t>4</w:t>
            </w:r>
          </w:p>
        </w:tc>
        <w:tc>
          <w:tcPr>
            <w:tcW w:w="1134" w:type="dxa"/>
            <w:shd w:val="clear" w:color="auto" w:fill="auto"/>
            <w:vAlign w:val="center"/>
          </w:tcPr>
          <w:p w:rsidR="00FA5FFA" w:rsidRPr="00FB44C4" w:rsidRDefault="00C32942" w:rsidP="00334199">
            <w:pPr>
              <w:pStyle w:val="Default"/>
              <w:spacing w:line="480" w:lineRule="auto"/>
              <w:jc w:val="center"/>
              <w:rPr>
                <w:rFonts w:ascii="Times New Roman" w:hAnsi="Times New Roman" w:cs="Times New Roman"/>
                <w:bCs/>
              </w:rPr>
            </w:pPr>
            <w:r>
              <w:rPr>
                <w:rFonts w:ascii="Times New Roman" w:hAnsi="Times New Roman" w:cs="Times New Roman"/>
                <w:bCs/>
              </w:rPr>
              <w:t>37</w:t>
            </w:r>
            <w:r w:rsidRPr="00C32942">
              <w:rPr>
                <w:rFonts w:ascii="Times New Roman" w:hAnsi="Times New Roman" w:cs="Times New Roman"/>
                <w:bCs/>
                <w:highlight w:val="yellow"/>
              </w:rPr>
              <w:t>.</w:t>
            </w:r>
            <w:r w:rsidR="00FA5FFA" w:rsidRPr="00FB44C4">
              <w:rPr>
                <w:rFonts w:ascii="Times New Roman" w:hAnsi="Times New Roman" w:cs="Times New Roman"/>
                <w:bCs/>
              </w:rPr>
              <w:t>8</w:t>
            </w:r>
          </w:p>
        </w:tc>
      </w:tr>
    </w:tbl>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FA5FFA" w:rsidRDefault="00FA5FFA" w:rsidP="00FA5FFA">
      <w:pPr>
        <w:spacing w:line="480" w:lineRule="auto"/>
        <w:jc w:val="center"/>
      </w:pPr>
    </w:p>
    <w:p w:rsidR="00C911E5" w:rsidRDefault="00C911E5" w:rsidP="00C911E5">
      <w:pPr>
        <w:spacing w:line="480" w:lineRule="auto"/>
        <w:jc w:val="both"/>
      </w:pPr>
    </w:p>
    <w:p w:rsidR="00C71DDE" w:rsidRDefault="00C71DDE" w:rsidP="00C911E5">
      <w:pPr>
        <w:spacing w:line="480" w:lineRule="auto"/>
        <w:jc w:val="both"/>
      </w:pPr>
    </w:p>
    <w:p w:rsidR="00FA5FFA" w:rsidRPr="00C41355" w:rsidRDefault="00C41355" w:rsidP="00C41355">
      <w:pPr>
        <w:spacing w:line="480" w:lineRule="auto"/>
        <w:jc w:val="both"/>
        <w:rPr>
          <w:b/>
        </w:rPr>
      </w:pPr>
      <w:r>
        <w:rPr>
          <w:b/>
        </w:rPr>
        <w:lastRenderedPageBreak/>
        <w:t>Table 4</w:t>
      </w:r>
      <w:r w:rsidR="006023E5">
        <w:rPr>
          <w:b/>
        </w:rPr>
        <w:t xml:space="preserve"> </w:t>
      </w:r>
      <w:r w:rsidR="006023E5" w:rsidRPr="00653459">
        <w:rPr>
          <w:b/>
          <w:highlight w:val="yellow"/>
        </w:rPr>
        <w:t>Chemical</w:t>
      </w:r>
      <w:r w:rsidR="00FA5FFA" w:rsidRPr="00653459">
        <w:rPr>
          <w:b/>
          <w:highlight w:val="yellow"/>
        </w:rPr>
        <w:t xml:space="preserve"> di</w:t>
      </w:r>
      <w:r w:rsidR="00653459" w:rsidRPr="00653459">
        <w:rPr>
          <w:b/>
          <w:highlight w:val="yellow"/>
        </w:rPr>
        <w:t xml:space="preserve">stribution measured on </w:t>
      </w:r>
      <w:r w:rsidR="00511093">
        <w:rPr>
          <w:b/>
          <w:highlight w:val="yellow"/>
        </w:rPr>
        <w:t xml:space="preserve">the </w:t>
      </w:r>
      <w:r w:rsidR="006023E5" w:rsidRPr="00653459">
        <w:rPr>
          <w:b/>
          <w:highlight w:val="yellow"/>
        </w:rPr>
        <w:t xml:space="preserve">microstructure </w:t>
      </w:r>
      <w:r w:rsidR="00653459" w:rsidRPr="00653459">
        <w:rPr>
          <w:b/>
          <w:highlight w:val="yellow"/>
        </w:rPr>
        <w:t xml:space="preserve">of </w:t>
      </w:r>
      <w:proofErr w:type="spellStart"/>
      <w:r w:rsidR="00FA5FFA" w:rsidRPr="00653459">
        <w:rPr>
          <w:b/>
          <w:highlight w:val="yellow"/>
        </w:rPr>
        <w:t>CoCrMoSi</w:t>
      </w:r>
      <w:proofErr w:type="spellEnd"/>
      <w:r w:rsidR="00FA5FFA" w:rsidRPr="00653459">
        <w:rPr>
          <w:b/>
          <w:highlight w:val="yellow"/>
        </w:rPr>
        <w:t xml:space="preserve"> </w:t>
      </w:r>
      <w:r w:rsidR="00511093">
        <w:rPr>
          <w:b/>
          <w:highlight w:val="yellow"/>
        </w:rPr>
        <w:t xml:space="preserve">T400 </w:t>
      </w:r>
      <w:r w:rsidR="00FA5FFA" w:rsidRPr="00653459">
        <w:rPr>
          <w:b/>
          <w:highlight w:val="yellow"/>
        </w:rPr>
        <w:t>alloy coatings</w:t>
      </w:r>
      <w:r w:rsidR="00EF56D5">
        <w:rPr>
          <w:b/>
          <w:highlight w:val="yellow"/>
        </w:rPr>
        <w:t xml:space="preserve"> (wt %)</w:t>
      </w:r>
      <w:r w:rsidR="00FA5FFA" w:rsidRPr="00653459">
        <w:rPr>
          <w:b/>
          <w:highlight w:val="yellow"/>
        </w:rPr>
        <w:t>.</w:t>
      </w:r>
    </w:p>
    <w:tbl>
      <w:tblPr>
        <w:tblW w:w="5000" w:type="pct"/>
        <w:tblBorders>
          <w:top w:val="single" w:sz="4" w:space="0" w:color="auto"/>
          <w:bottom w:val="single" w:sz="4" w:space="0" w:color="auto"/>
        </w:tblBorders>
        <w:tblLayout w:type="fixed"/>
        <w:tblLook w:val="04A0"/>
      </w:tblPr>
      <w:tblGrid>
        <w:gridCol w:w="1244"/>
        <w:gridCol w:w="2411"/>
        <w:gridCol w:w="938"/>
        <w:gridCol w:w="940"/>
        <w:gridCol w:w="940"/>
        <w:gridCol w:w="938"/>
        <w:gridCol w:w="940"/>
        <w:gridCol w:w="936"/>
      </w:tblGrid>
      <w:tr w:rsidR="007F0EE5" w:rsidRPr="00FB44C4" w:rsidTr="007F0EE5">
        <w:trPr>
          <w:trHeight w:hRule="exact" w:val="369"/>
        </w:trPr>
        <w:tc>
          <w:tcPr>
            <w:tcW w:w="670" w:type="pct"/>
            <w:vMerge w:val="restart"/>
            <w:tcBorders>
              <w:top w:val="single" w:sz="4" w:space="0" w:color="auto"/>
            </w:tcBorders>
            <w:vAlign w:val="center"/>
          </w:tcPr>
          <w:p w:rsidR="007F0EE5" w:rsidRPr="007F0EE5" w:rsidRDefault="007F0EE5" w:rsidP="007F0EE5">
            <w:pPr>
              <w:jc w:val="center"/>
              <w:rPr>
                <w:b/>
                <w:bCs/>
              </w:rPr>
            </w:pPr>
            <w:r w:rsidRPr="007F0EE5">
              <w:rPr>
                <w:b/>
                <w:bCs/>
              </w:rPr>
              <w:t>Current (A)</w:t>
            </w:r>
          </w:p>
        </w:tc>
        <w:tc>
          <w:tcPr>
            <w:tcW w:w="1298" w:type="pct"/>
            <w:vMerge w:val="restart"/>
            <w:tcBorders>
              <w:top w:val="single" w:sz="4" w:space="0" w:color="auto"/>
            </w:tcBorders>
            <w:vAlign w:val="bottom"/>
          </w:tcPr>
          <w:p w:rsidR="007F0EE5" w:rsidRPr="007F0EE5" w:rsidRDefault="007F0EE5" w:rsidP="007F0EE5">
            <w:pPr>
              <w:spacing w:line="480" w:lineRule="auto"/>
              <w:jc w:val="center"/>
              <w:rPr>
                <w:b/>
                <w:bCs/>
              </w:rPr>
            </w:pPr>
            <w:r w:rsidRPr="007F0EE5">
              <w:rPr>
                <w:b/>
                <w:bCs/>
              </w:rPr>
              <w:t>Alloy Powder</w:t>
            </w:r>
          </w:p>
        </w:tc>
        <w:tc>
          <w:tcPr>
            <w:tcW w:w="505" w:type="pct"/>
            <w:tcBorders>
              <w:top w:val="single" w:sz="4" w:space="0" w:color="auto"/>
              <w:bottom w:val="nil"/>
            </w:tcBorders>
            <w:vAlign w:val="center"/>
          </w:tcPr>
          <w:p w:rsidR="007F0EE5" w:rsidRPr="00FB44C4" w:rsidRDefault="007F0EE5" w:rsidP="00334199">
            <w:pPr>
              <w:spacing w:line="480" w:lineRule="auto"/>
              <w:jc w:val="center"/>
              <w:rPr>
                <w:b/>
                <w:bCs/>
              </w:rPr>
            </w:pPr>
            <w:r w:rsidRPr="00FB44C4">
              <w:rPr>
                <w:b/>
                <w:bCs/>
              </w:rPr>
              <w:t>Si</w:t>
            </w:r>
          </w:p>
        </w:tc>
        <w:tc>
          <w:tcPr>
            <w:tcW w:w="506" w:type="pct"/>
            <w:tcBorders>
              <w:top w:val="single" w:sz="4" w:space="0" w:color="auto"/>
              <w:bottom w:val="nil"/>
            </w:tcBorders>
            <w:vAlign w:val="center"/>
          </w:tcPr>
          <w:p w:rsidR="007F0EE5" w:rsidRPr="00FB44C4" w:rsidRDefault="007F0EE5" w:rsidP="00334199">
            <w:pPr>
              <w:spacing w:line="480" w:lineRule="auto"/>
              <w:jc w:val="center"/>
              <w:rPr>
                <w:b/>
                <w:bCs/>
              </w:rPr>
            </w:pPr>
            <w:r w:rsidRPr="00FB44C4">
              <w:rPr>
                <w:b/>
                <w:bCs/>
              </w:rPr>
              <w:t>Mo</w:t>
            </w:r>
          </w:p>
        </w:tc>
        <w:tc>
          <w:tcPr>
            <w:tcW w:w="506" w:type="pct"/>
            <w:tcBorders>
              <w:top w:val="single" w:sz="4" w:space="0" w:color="auto"/>
              <w:bottom w:val="nil"/>
            </w:tcBorders>
            <w:vAlign w:val="center"/>
          </w:tcPr>
          <w:p w:rsidR="007F0EE5" w:rsidRPr="00FB44C4" w:rsidRDefault="007F0EE5" w:rsidP="00334199">
            <w:pPr>
              <w:spacing w:line="480" w:lineRule="auto"/>
              <w:jc w:val="center"/>
              <w:rPr>
                <w:b/>
                <w:bCs/>
              </w:rPr>
            </w:pPr>
            <w:r w:rsidRPr="00FB44C4">
              <w:rPr>
                <w:b/>
                <w:bCs/>
              </w:rPr>
              <w:t>Co</w:t>
            </w:r>
          </w:p>
        </w:tc>
        <w:tc>
          <w:tcPr>
            <w:tcW w:w="505" w:type="pct"/>
            <w:tcBorders>
              <w:top w:val="single" w:sz="4" w:space="0" w:color="auto"/>
              <w:bottom w:val="nil"/>
            </w:tcBorders>
            <w:vAlign w:val="center"/>
          </w:tcPr>
          <w:p w:rsidR="007F0EE5" w:rsidRPr="00FB44C4" w:rsidRDefault="007F0EE5" w:rsidP="00334199">
            <w:pPr>
              <w:spacing w:line="480" w:lineRule="auto"/>
              <w:jc w:val="center"/>
              <w:rPr>
                <w:b/>
                <w:bCs/>
              </w:rPr>
            </w:pPr>
            <w:r w:rsidRPr="00FB44C4">
              <w:rPr>
                <w:b/>
                <w:bCs/>
              </w:rPr>
              <w:t>Cr</w:t>
            </w:r>
          </w:p>
        </w:tc>
        <w:tc>
          <w:tcPr>
            <w:tcW w:w="506" w:type="pct"/>
            <w:tcBorders>
              <w:top w:val="single" w:sz="4" w:space="0" w:color="auto"/>
              <w:bottom w:val="nil"/>
            </w:tcBorders>
            <w:vAlign w:val="center"/>
          </w:tcPr>
          <w:p w:rsidR="007F0EE5" w:rsidRPr="00FB44C4" w:rsidRDefault="007F0EE5" w:rsidP="00334199">
            <w:pPr>
              <w:spacing w:line="480" w:lineRule="auto"/>
              <w:jc w:val="center"/>
              <w:rPr>
                <w:b/>
                <w:bCs/>
              </w:rPr>
            </w:pPr>
            <w:r w:rsidRPr="00FB44C4">
              <w:rPr>
                <w:b/>
                <w:bCs/>
              </w:rPr>
              <w:t>Fe</w:t>
            </w:r>
          </w:p>
        </w:tc>
        <w:tc>
          <w:tcPr>
            <w:tcW w:w="504" w:type="pct"/>
            <w:tcBorders>
              <w:top w:val="single" w:sz="4" w:space="0" w:color="auto"/>
              <w:bottom w:val="nil"/>
            </w:tcBorders>
            <w:vAlign w:val="center"/>
          </w:tcPr>
          <w:p w:rsidR="007F0EE5" w:rsidRPr="00FB44C4" w:rsidRDefault="007F0EE5" w:rsidP="00334199">
            <w:pPr>
              <w:spacing w:line="480" w:lineRule="auto"/>
              <w:jc w:val="center"/>
              <w:rPr>
                <w:b/>
                <w:bCs/>
              </w:rPr>
            </w:pPr>
            <w:r w:rsidRPr="00FB44C4">
              <w:rPr>
                <w:b/>
                <w:bCs/>
              </w:rPr>
              <w:t>Ni</w:t>
            </w:r>
          </w:p>
        </w:tc>
      </w:tr>
      <w:tr w:rsidR="007F0EE5" w:rsidRPr="00FB44C4" w:rsidTr="00E822A7">
        <w:trPr>
          <w:trHeight w:hRule="exact" w:val="369"/>
        </w:trPr>
        <w:tc>
          <w:tcPr>
            <w:tcW w:w="670" w:type="pct"/>
            <w:vMerge/>
            <w:tcBorders>
              <w:bottom w:val="single" w:sz="4" w:space="0" w:color="auto"/>
            </w:tcBorders>
          </w:tcPr>
          <w:p w:rsidR="007F0EE5" w:rsidRPr="00FB44C4" w:rsidRDefault="007F0EE5" w:rsidP="00334199">
            <w:pPr>
              <w:spacing w:line="480" w:lineRule="auto"/>
              <w:jc w:val="both"/>
              <w:rPr>
                <w:bCs/>
              </w:rPr>
            </w:pPr>
          </w:p>
        </w:tc>
        <w:tc>
          <w:tcPr>
            <w:tcW w:w="1298" w:type="pct"/>
            <w:vMerge/>
            <w:tcBorders>
              <w:bottom w:val="single" w:sz="4" w:space="0" w:color="auto"/>
            </w:tcBorders>
          </w:tcPr>
          <w:p w:rsidR="007F0EE5" w:rsidRPr="00FB44C4" w:rsidRDefault="007F0EE5" w:rsidP="00334199">
            <w:pPr>
              <w:spacing w:line="480" w:lineRule="auto"/>
              <w:jc w:val="center"/>
              <w:rPr>
                <w:b/>
                <w:bCs/>
              </w:rPr>
            </w:pPr>
          </w:p>
        </w:tc>
        <w:tc>
          <w:tcPr>
            <w:tcW w:w="505" w:type="pct"/>
            <w:tcBorders>
              <w:top w:val="nil"/>
              <w:bottom w:val="single" w:sz="4" w:space="0" w:color="auto"/>
            </w:tcBorders>
            <w:vAlign w:val="center"/>
          </w:tcPr>
          <w:p w:rsidR="007F0EE5" w:rsidRPr="00FB44C4" w:rsidRDefault="0079654A" w:rsidP="00334199">
            <w:pPr>
              <w:spacing w:line="480" w:lineRule="auto"/>
              <w:jc w:val="center"/>
              <w:rPr>
                <w:bCs/>
              </w:rPr>
            </w:pPr>
            <w:r>
              <w:rPr>
                <w:bCs/>
              </w:rPr>
              <w:t>2</w:t>
            </w:r>
            <w:r w:rsidRPr="0079654A">
              <w:rPr>
                <w:bCs/>
                <w:highlight w:val="yellow"/>
              </w:rPr>
              <w:t>.</w:t>
            </w:r>
            <w:r w:rsidR="007F0EE5">
              <w:rPr>
                <w:bCs/>
              </w:rPr>
              <w:t>4</w:t>
            </w:r>
          </w:p>
        </w:tc>
        <w:tc>
          <w:tcPr>
            <w:tcW w:w="506" w:type="pct"/>
            <w:tcBorders>
              <w:top w:val="nil"/>
              <w:bottom w:val="single" w:sz="4" w:space="0" w:color="auto"/>
            </w:tcBorders>
            <w:vAlign w:val="center"/>
          </w:tcPr>
          <w:p w:rsidR="007F0EE5" w:rsidRPr="00FB44C4" w:rsidRDefault="007F0EE5" w:rsidP="00334199">
            <w:pPr>
              <w:spacing w:line="480" w:lineRule="auto"/>
              <w:jc w:val="center"/>
              <w:rPr>
                <w:bCs/>
              </w:rPr>
            </w:pPr>
            <w:r w:rsidRPr="00FB44C4">
              <w:rPr>
                <w:bCs/>
              </w:rPr>
              <w:t>2</w:t>
            </w:r>
            <w:r w:rsidR="0079654A">
              <w:rPr>
                <w:bCs/>
              </w:rPr>
              <w:t>9</w:t>
            </w:r>
            <w:r w:rsidR="0079654A" w:rsidRPr="0079654A">
              <w:rPr>
                <w:bCs/>
                <w:highlight w:val="yellow"/>
              </w:rPr>
              <w:t>.</w:t>
            </w:r>
            <w:r w:rsidR="0079654A">
              <w:rPr>
                <w:bCs/>
              </w:rPr>
              <w:t>1</w:t>
            </w:r>
          </w:p>
        </w:tc>
        <w:tc>
          <w:tcPr>
            <w:tcW w:w="506" w:type="pct"/>
            <w:tcBorders>
              <w:top w:val="nil"/>
              <w:bottom w:val="single" w:sz="4" w:space="0" w:color="auto"/>
            </w:tcBorders>
            <w:vAlign w:val="center"/>
          </w:tcPr>
          <w:p w:rsidR="007F0EE5" w:rsidRPr="00FB44C4" w:rsidRDefault="007F0EE5" w:rsidP="00334199">
            <w:pPr>
              <w:spacing w:line="480" w:lineRule="auto"/>
              <w:jc w:val="center"/>
              <w:rPr>
                <w:bCs/>
              </w:rPr>
            </w:pPr>
            <w:r w:rsidRPr="00FB44C4">
              <w:rPr>
                <w:bCs/>
              </w:rPr>
              <w:t>Bal.</w:t>
            </w:r>
          </w:p>
        </w:tc>
        <w:tc>
          <w:tcPr>
            <w:tcW w:w="505" w:type="pct"/>
            <w:tcBorders>
              <w:top w:val="nil"/>
              <w:bottom w:val="single" w:sz="4" w:space="0" w:color="auto"/>
            </w:tcBorders>
            <w:vAlign w:val="center"/>
          </w:tcPr>
          <w:p w:rsidR="007F0EE5" w:rsidRPr="00FB44C4" w:rsidRDefault="0079654A" w:rsidP="00334199">
            <w:pPr>
              <w:spacing w:line="480" w:lineRule="auto"/>
              <w:jc w:val="center"/>
              <w:rPr>
                <w:bCs/>
              </w:rPr>
            </w:pPr>
            <w:r>
              <w:rPr>
                <w:bCs/>
              </w:rPr>
              <w:t>8</w:t>
            </w:r>
            <w:r w:rsidRPr="0079654A">
              <w:rPr>
                <w:bCs/>
                <w:highlight w:val="yellow"/>
              </w:rPr>
              <w:t>.</w:t>
            </w:r>
            <w:r w:rsidR="00653459">
              <w:rPr>
                <w:bCs/>
              </w:rPr>
              <w:t>8</w:t>
            </w:r>
          </w:p>
        </w:tc>
        <w:tc>
          <w:tcPr>
            <w:tcW w:w="506" w:type="pct"/>
            <w:tcBorders>
              <w:top w:val="nil"/>
              <w:bottom w:val="single" w:sz="4" w:space="0" w:color="auto"/>
            </w:tcBorders>
            <w:vAlign w:val="center"/>
          </w:tcPr>
          <w:p w:rsidR="007F0EE5" w:rsidRPr="00FB44C4" w:rsidRDefault="007F0EE5" w:rsidP="00334199">
            <w:pPr>
              <w:spacing w:line="480" w:lineRule="auto"/>
              <w:jc w:val="center"/>
              <w:rPr>
                <w:bCs/>
              </w:rPr>
            </w:pPr>
            <w:r w:rsidRPr="00FB44C4">
              <w:rPr>
                <w:bCs/>
              </w:rPr>
              <w:t>--- --- ---</w:t>
            </w:r>
          </w:p>
        </w:tc>
        <w:tc>
          <w:tcPr>
            <w:tcW w:w="504" w:type="pct"/>
            <w:tcBorders>
              <w:top w:val="nil"/>
              <w:bottom w:val="single" w:sz="4" w:space="0" w:color="auto"/>
            </w:tcBorders>
            <w:vAlign w:val="center"/>
          </w:tcPr>
          <w:p w:rsidR="007F0EE5" w:rsidRPr="00FB44C4" w:rsidRDefault="007F0EE5" w:rsidP="00334199">
            <w:pPr>
              <w:spacing w:line="480" w:lineRule="auto"/>
              <w:jc w:val="center"/>
              <w:rPr>
                <w:bCs/>
              </w:rPr>
            </w:pPr>
            <w:r w:rsidRPr="00FB44C4">
              <w:rPr>
                <w:bCs/>
              </w:rPr>
              <w:t>--- --- ---</w:t>
            </w:r>
          </w:p>
        </w:tc>
      </w:tr>
      <w:tr w:rsidR="00FA5FFA" w:rsidRPr="00FB44C4" w:rsidTr="006F70B9">
        <w:trPr>
          <w:trHeight w:hRule="exact" w:val="369"/>
        </w:trPr>
        <w:tc>
          <w:tcPr>
            <w:tcW w:w="670" w:type="pct"/>
            <w:vMerge w:val="restart"/>
            <w:tcBorders>
              <w:top w:val="single" w:sz="4" w:space="0" w:color="auto"/>
            </w:tcBorders>
            <w:vAlign w:val="bottom"/>
          </w:tcPr>
          <w:p w:rsidR="00FA5FFA" w:rsidRPr="00FB44C4" w:rsidRDefault="00FA5FFA" w:rsidP="006F70B9">
            <w:pPr>
              <w:spacing w:line="480" w:lineRule="auto"/>
              <w:jc w:val="center"/>
              <w:rPr>
                <w:b/>
                <w:bCs/>
              </w:rPr>
            </w:pPr>
            <w:r w:rsidRPr="00FB44C4">
              <w:rPr>
                <w:b/>
                <w:bCs/>
              </w:rPr>
              <w:t>120</w:t>
            </w:r>
          </w:p>
        </w:tc>
        <w:tc>
          <w:tcPr>
            <w:tcW w:w="1298" w:type="pct"/>
            <w:tcBorders>
              <w:top w:val="single" w:sz="4" w:space="0" w:color="auto"/>
            </w:tcBorders>
            <w:vAlign w:val="center"/>
          </w:tcPr>
          <w:p w:rsidR="00FA5FFA" w:rsidRPr="00FB44C4" w:rsidRDefault="00FA5FFA" w:rsidP="00334199">
            <w:pPr>
              <w:spacing w:line="480" w:lineRule="auto"/>
              <w:jc w:val="center"/>
              <w:rPr>
                <w:bCs/>
              </w:rPr>
            </w:pPr>
            <w:r w:rsidRPr="00FB44C4">
              <w:rPr>
                <w:bCs/>
              </w:rPr>
              <w:t>Eutectic</w:t>
            </w:r>
          </w:p>
        </w:tc>
        <w:tc>
          <w:tcPr>
            <w:tcW w:w="505" w:type="pct"/>
            <w:tcBorders>
              <w:top w:val="single" w:sz="4" w:space="0" w:color="auto"/>
            </w:tcBorders>
            <w:vAlign w:val="bottom"/>
          </w:tcPr>
          <w:p w:rsidR="00FA5FFA" w:rsidRPr="00FB44C4" w:rsidRDefault="0079654A" w:rsidP="00334199">
            <w:pPr>
              <w:spacing w:line="480" w:lineRule="auto"/>
              <w:jc w:val="center"/>
              <w:rPr>
                <w:color w:val="000000"/>
              </w:rPr>
            </w:pPr>
            <w:r>
              <w:rPr>
                <w:bCs/>
                <w:color w:val="000000"/>
              </w:rPr>
              <w:t>2</w:t>
            </w:r>
            <w:r w:rsidRPr="0079654A">
              <w:rPr>
                <w:bCs/>
                <w:color w:val="000000"/>
                <w:highlight w:val="yellow"/>
              </w:rPr>
              <w:t>.</w:t>
            </w:r>
            <w:r w:rsidR="00FA5FFA" w:rsidRPr="00FB44C4">
              <w:rPr>
                <w:bCs/>
                <w:color w:val="000000"/>
              </w:rPr>
              <w:t>23</w:t>
            </w:r>
          </w:p>
        </w:tc>
        <w:tc>
          <w:tcPr>
            <w:tcW w:w="506" w:type="pct"/>
            <w:tcBorders>
              <w:top w:val="single" w:sz="4" w:space="0" w:color="auto"/>
            </w:tcBorders>
            <w:vAlign w:val="bottom"/>
          </w:tcPr>
          <w:p w:rsidR="00FA5FFA" w:rsidRPr="00FB44C4" w:rsidRDefault="0079654A" w:rsidP="00334199">
            <w:pPr>
              <w:spacing w:line="480" w:lineRule="auto"/>
              <w:jc w:val="center"/>
              <w:rPr>
                <w:color w:val="000000"/>
              </w:rPr>
            </w:pPr>
            <w:r>
              <w:rPr>
                <w:bCs/>
                <w:color w:val="000000"/>
              </w:rPr>
              <w:t>29</w:t>
            </w:r>
            <w:r w:rsidRPr="0079654A">
              <w:rPr>
                <w:bCs/>
                <w:color w:val="000000"/>
                <w:highlight w:val="yellow"/>
              </w:rPr>
              <w:t>.</w:t>
            </w:r>
            <w:r w:rsidR="00FA5FFA" w:rsidRPr="00FB44C4">
              <w:rPr>
                <w:bCs/>
                <w:color w:val="000000"/>
              </w:rPr>
              <w:t>42</w:t>
            </w:r>
          </w:p>
        </w:tc>
        <w:tc>
          <w:tcPr>
            <w:tcW w:w="506" w:type="pct"/>
            <w:tcBorders>
              <w:top w:val="single" w:sz="4" w:space="0" w:color="auto"/>
            </w:tcBorders>
            <w:vAlign w:val="bottom"/>
          </w:tcPr>
          <w:p w:rsidR="00FA5FFA" w:rsidRPr="00FB44C4" w:rsidRDefault="00AD56F7" w:rsidP="00334199">
            <w:pPr>
              <w:spacing w:line="480" w:lineRule="auto"/>
              <w:jc w:val="center"/>
              <w:rPr>
                <w:color w:val="000000"/>
              </w:rPr>
            </w:pPr>
            <w:r>
              <w:rPr>
                <w:bCs/>
                <w:color w:val="000000"/>
              </w:rPr>
              <w:t xml:space="preserve">Bal. </w:t>
            </w:r>
          </w:p>
        </w:tc>
        <w:tc>
          <w:tcPr>
            <w:tcW w:w="505" w:type="pct"/>
            <w:tcBorders>
              <w:top w:val="single" w:sz="4" w:space="0" w:color="auto"/>
            </w:tcBorders>
            <w:vAlign w:val="bottom"/>
          </w:tcPr>
          <w:p w:rsidR="00FA5FFA" w:rsidRPr="00FB44C4" w:rsidRDefault="0079654A" w:rsidP="00334199">
            <w:pPr>
              <w:spacing w:line="480" w:lineRule="auto"/>
              <w:jc w:val="center"/>
              <w:rPr>
                <w:color w:val="000000"/>
              </w:rPr>
            </w:pPr>
            <w:r>
              <w:rPr>
                <w:bCs/>
                <w:color w:val="000000"/>
              </w:rPr>
              <w:t>9</w:t>
            </w:r>
            <w:r w:rsidRPr="0079654A">
              <w:rPr>
                <w:bCs/>
                <w:color w:val="000000"/>
                <w:highlight w:val="yellow"/>
              </w:rPr>
              <w:t>.</w:t>
            </w:r>
            <w:r w:rsidR="00FA5FFA" w:rsidRPr="00FB44C4">
              <w:rPr>
                <w:bCs/>
                <w:color w:val="000000"/>
              </w:rPr>
              <w:t>02</w:t>
            </w:r>
          </w:p>
        </w:tc>
        <w:tc>
          <w:tcPr>
            <w:tcW w:w="506" w:type="pct"/>
            <w:tcBorders>
              <w:top w:val="single" w:sz="4" w:space="0" w:color="auto"/>
            </w:tcBorders>
            <w:vAlign w:val="bottom"/>
          </w:tcPr>
          <w:p w:rsidR="00FA5FFA" w:rsidRPr="00FB44C4" w:rsidRDefault="00FA5FFA" w:rsidP="00334199">
            <w:pPr>
              <w:spacing w:line="480" w:lineRule="auto"/>
              <w:jc w:val="center"/>
              <w:rPr>
                <w:color w:val="000000"/>
              </w:rPr>
            </w:pPr>
            <w:r w:rsidRPr="00FB44C4">
              <w:rPr>
                <w:bCs/>
                <w:color w:val="000000"/>
              </w:rPr>
              <w:t>9</w:t>
            </w:r>
            <w:r w:rsidR="0079654A" w:rsidRPr="0079654A">
              <w:rPr>
                <w:bCs/>
                <w:color w:val="000000"/>
                <w:highlight w:val="yellow"/>
              </w:rPr>
              <w:t>.</w:t>
            </w:r>
            <w:r w:rsidRPr="00FB44C4">
              <w:rPr>
                <w:bCs/>
                <w:color w:val="000000"/>
              </w:rPr>
              <w:t>75</w:t>
            </w:r>
          </w:p>
        </w:tc>
        <w:tc>
          <w:tcPr>
            <w:tcW w:w="504" w:type="pct"/>
            <w:tcBorders>
              <w:top w:val="single" w:sz="4" w:space="0" w:color="auto"/>
            </w:tcBorders>
            <w:vAlign w:val="bottom"/>
          </w:tcPr>
          <w:p w:rsidR="00FA5FFA" w:rsidRPr="00FB44C4" w:rsidRDefault="00FA5FFA" w:rsidP="00334199">
            <w:pPr>
              <w:spacing w:line="480" w:lineRule="auto"/>
              <w:jc w:val="center"/>
              <w:rPr>
                <w:color w:val="000000"/>
              </w:rPr>
            </w:pPr>
            <w:r w:rsidRPr="00FB44C4">
              <w:rPr>
                <w:bCs/>
                <w:color w:val="000000"/>
              </w:rPr>
              <w:t> </w:t>
            </w:r>
          </w:p>
        </w:tc>
      </w:tr>
      <w:tr w:rsidR="00FA5FFA" w:rsidRPr="00FB44C4" w:rsidTr="006F70B9">
        <w:trPr>
          <w:trHeight w:hRule="exact" w:val="369"/>
        </w:trPr>
        <w:tc>
          <w:tcPr>
            <w:tcW w:w="670" w:type="pct"/>
            <w:vMerge/>
            <w:vAlign w:val="bottom"/>
          </w:tcPr>
          <w:p w:rsidR="00FA5FFA" w:rsidRPr="00FB44C4" w:rsidRDefault="00FA5FFA" w:rsidP="006F70B9">
            <w:pPr>
              <w:spacing w:line="480" w:lineRule="auto"/>
              <w:jc w:val="center"/>
              <w:rPr>
                <w:b/>
                <w:bCs/>
              </w:rPr>
            </w:pPr>
          </w:p>
        </w:tc>
        <w:tc>
          <w:tcPr>
            <w:tcW w:w="1298" w:type="pct"/>
            <w:vAlign w:val="center"/>
          </w:tcPr>
          <w:p w:rsidR="00FA5FFA" w:rsidRPr="00FB44C4" w:rsidRDefault="00FA5FFA" w:rsidP="00334199">
            <w:pPr>
              <w:spacing w:line="480" w:lineRule="auto"/>
              <w:jc w:val="center"/>
              <w:rPr>
                <w:bCs/>
              </w:rPr>
            </w:pPr>
            <w:r w:rsidRPr="00FB44C4">
              <w:rPr>
                <w:bCs/>
              </w:rPr>
              <w:t>Cobalt Solid Solution</w:t>
            </w:r>
          </w:p>
        </w:tc>
        <w:tc>
          <w:tcPr>
            <w:tcW w:w="505" w:type="pct"/>
            <w:vAlign w:val="bottom"/>
          </w:tcPr>
          <w:p w:rsidR="00FA5FFA" w:rsidRPr="00FB44C4" w:rsidRDefault="00C71E98" w:rsidP="00334199">
            <w:pPr>
              <w:spacing w:line="480" w:lineRule="auto"/>
              <w:jc w:val="center"/>
              <w:rPr>
                <w:color w:val="000000"/>
              </w:rPr>
            </w:pPr>
            <w:r>
              <w:rPr>
                <w:color w:val="000000"/>
              </w:rPr>
              <w:t>----</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14</w:t>
            </w:r>
            <w:r w:rsidR="0079654A" w:rsidRPr="0079654A">
              <w:rPr>
                <w:bCs/>
                <w:color w:val="000000"/>
                <w:highlight w:val="yellow"/>
              </w:rPr>
              <w:t>.</w:t>
            </w:r>
            <w:r w:rsidRPr="00FB44C4">
              <w:rPr>
                <w:bCs/>
                <w:color w:val="000000"/>
              </w:rPr>
              <w:t>04</w:t>
            </w:r>
          </w:p>
        </w:tc>
        <w:tc>
          <w:tcPr>
            <w:tcW w:w="506" w:type="pct"/>
            <w:vAlign w:val="bottom"/>
          </w:tcPr>
          <w:p w:rsidR="00FA5FFA" w:rsidRPr="00FB44C4" w:rsidRDefault="00AD56F7" w:rsidP="00334199">
            <w:pPr>
              <w:spacing w:line="480" w:lineRule="auto"/>
              <w:jc w:val="center"/>
              <w:rPr>
                <w:color w:val="000000"/>
              </w:rPr>
            </w:pPr>
            <w:r>
              <w:rPr>
                <w:bCs/>
                <w:color w:val="000000"/>
              </w:rPr>
              <w:t>Bal.</w:t>
            </w:r>
          </w:p>
        </w:tc>
        <w:tc>
          <w:tcPr>
            <w:tcW w:w="505" w:type="pct"/>
            <w:vAlign w:val="bottom"/>
          </w:tcPr>
          <w:p w:rsidR="00FA5FFA" w:rsidRPr="00FB44C4" w:rsidRDefault="00FA5FFA" w:rsidP="00334199">
            <w:pPr>
              <w:spacing w:line="480" w:lineRule="auto"/>
              <w:jc w:val="center"/>
              <w:rPr>
                <w:color w:val="000000"/>
              </w:rPr>
            </w:pPr>
            <w:r w:rsidRPr="00FB44C4">
              <w:rPr>
                <w:bCs/>
                <w:color w:val="000000"/>
              </w:rPr>
              <w:t>12</w:t>
            </w:r>
            <w:r w:rsidR="0079654A" w:rsidRPr="0079654A">
              <w:rPr>
                <w:bCs/>
                <w:color w:val="000000"/>
                <w:highlight w:val="yellow"/>
              </w:rPr>
              <w:t>.</w:t>
            </w:r>
            <w:r w:rsidRPr="00FB44C4">
              <w:rPr>
                <w:bCs/>
                <w:color w:val="000000"/>
              </w:rPr>
              <w:t>30</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13</w:t>
            </w:r>
            <w:r w:rsidR="0079654A" w:rsidRPr="0079654A">
              <w:rPr>
                <w:bCs/>
                <w:color w:val="000000"/>
                <w:highlight w:val="yellow"/>
              </w:rPr>
              <w:t>.</w:t>
            </w:r>
            <w:r w:rsidRPr="00FB44C4">
              <w:rPr>
                <w:bCs/>
                <w:color w:val="000000"/>
              </w:rPr>
              <w:t>42</w:t>
            </w:r>
          </w:p>
        </w:tc>
        <w:tc>
          <w:tcPr>
            <w:tcW w:w="504" w:type="pct"/>
            <w:vAlign w:val="bottom"/>
          </w:tcPr>
          <w:p w:rsidR="00FA5FFA" w:rsidRPr="00FB44C4" w:rsidRDefault="00FA5FFA" w:rsidP="00334199">
            <w:pPr>
              <w:spacing w:line="480" w:lineRule="auto"/>
              <w:jc w:val="center"/>
              <w:rPr>
                <w:color w:val="000000"/>
              </w:rPr>
            </w:pPr>
            <w:r w:rsidRPr="00FB44C4">
              <w:rPr>
                <w:bCs/>
                <w:color w:val="000000"/>
              </w:rPr>
              <w:t>3</w:t>
            </w:r>
            <w:r w:rsidR="0079654A" w:rsidRPr="0079654A">
              <w:rPr>
                <w:bCs/>
                <w:color w:val="000000"/>
                <w:highlight w:val="yellow"/>
              </w:rPr>
              <w:t>.</w:t>
            </w:r>
            <w:r w:rsidRPr="00FB44C4">
              <w:rPr>
                <w:bCs/>
                <w:color w:val="000000"/>
              </w:rPr>
              <w:t>20</w:t>
            </w:r>
          </w:p>
        </w:tc>
      </w:tr>
      <w:tr w:rsidR="00FA5FFA" w:rsidRPr="00FB44C4" w:rsidTr="006F70B9">
        <w:trPr>
          <w:trHeight w:hRule="exact" w:val="369"/>
        </w:trPr>
        <w:tc>
          <w:tcPr>
            <w:tcW w:w="670" w:type="pct"/>
            <w:vMerge w:val="restart"/>
            <w:vAlign w:val="bottom"/>
          </w:tcPr>
          <w:p w:rsidR="00FA5FFA" w:rsidRPr="00FB44C4" w:rsidRDefault="00FA5FFA" w:rsidP="006F70B9">
            <w:pPr>
              <w:spacing w:line="480" w:lineRule="auto"/>
              <w:jc w:val="center"/>
              <w:rPr>
                <w:b/>
                <w:bCs/>
              </w:rPr>
            </w:pPr>
            <w:r w:rsidRPr="00FB44C4">
              <w:rPr>
                <w:b/>
                <w:bCs/>
              </w:rPr>
              <w:t>150</w:t>
            </w:r>
          </w:p>
        </w:tc>
        <w:tc>
          <w:tcPr>
            <w:tcW w:w="1298" w:type="pct"/>
            <w:vAlign w:val="center"/>
          </w:tcPr>
          <w:p w:rsidR="00FA5FFA" w:rsidRPr="00FB44C4" w:rsidRDefault="00FA5FFA" w:rsidP="00334199">
            <w:pPr>
              <w:spacing w:line="480" w:lineRule="auto"/>
              <w:jc w:val="center"/>
              <w:rPr>
                <w:bCs/>
              </w:rPr>
            </w:pPr>
            <w:r w:rsidRPr="00FB44C4">
              <w:rPr>
                <w:bCs/>
              </w:rPr>
              <w:t>Eutectic</w:t>
            </w:r>
          </w:p>
        </w:tc>
        <w:tc>
          <w:tcPr>
            <w:tcW w:w="505" w:type="pct"/>
            <w:vAlign w:val="bottom"/>
          </w:tcPr>
          <w:p w:rsidR="00FA5FFA" w:rsidRPr="00FB44C4" w:rsidRDefault="00FA5FFA" w:rsidP="00334199">
            <w:pPr>
              <w:spacing w:line="480" w:lineRule="auto"/>
              <w:jc w:val="center"/>
              <w:rPr>
                <w:color w:val="000000"/>
              </w:rPr>
            </w:pPr>
            <w:r w:rsidRPr="00FB44C4">
              <w:rPr>
                <w:bCs/>
                <w:color w:val="000000"/>
              </w:rPr>
              <w:t>2</w:t>
            </w:r>
            <w:r w:rsidR="0079654A" w:rsidRPr="0079654A">
              <w:rPr>
                <w:bCs/>
                <w:color w:val="000000"/>
                <w:highlight w:val="yellow"/>
              </w:rPr>
              <w:t>.</w:t>
            </w:r>
            <w:r w:rsidRPr="00FB44C4">
              <w:rPr>
                <w:bCs/>
                <w:color w:val="000000"/>
              </w:rPr>
              <w:t>12</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28</w:t>
            </w:r>
            <w:r w:rsidR="0079654A" w:rsidRPr="0079654A">
              <w:rPr>
                <w:bCs/>
                <w:color w:val="000000"/>
                <w:highlight w:val="yellow"/>
              </w:rPr>
              <w:t>.</w:t>
            </w:r>
            <w:r w:rsidRPr="00FB44C4">
              <w:rPr>
                <w:bCs/>
                <w:color w:val="000000"/>
              </w:rPr>
              <w:t>40</w:t>
            </w:r>
          </w:p>
        </w:tc>
        <w:tc>
          <w:tcPr>
            <w:tcW w:w="506" w:type="pct"/>
            <w:vAlign w:val="bottom"/>
          </w:tcPr>
          <w:p w:rsidR="00FA5FFA" w:rsidRPr="00FB44C4" w:rsidRDefault="00AD56F7" w:rsidP="00334199">
            <w:pPr>
              <w:spacing w:line="480" w:lineRule="auto"/>
              <w:jc w:val="center"/>
              <w:rPr>
                <w:color w:val="000000"/>
              </w:rPr>
            </w:pPr>
            <w:r>
              <w:rPr>
                <w:bCs/>
                <w:color w:val="000000"/>
              </w:rPr>
              <w:t>Bal.</w:t>
            </w:r>
          </w:p>
        </w:tc>
        <w:tc>
          <w:tcPr>
            <w:tcW w:w="505" w:type="pct"/>
            <w:vAlign w:val="bottom"/>
          </w:tcPr>
          <w:p w:rsidR="00FA5FFA" w:rsidRPr="00FB44C4" w:rsidRDefault="00FA5FFA" w:rsidP="00334199">
            <w:pPr>
              <w:spacing w:line="480" w:lineRule="auto"/>
              <w:jc w:val="center"/>
              <w:rPr>
                <w:color w:val="000000"/>
              </w:rPr>
            </w:pPr>
            <w:r w:rsidRPr="00FB44C4">
              <w:rPr>
                <w:bCs/>
                <w:color w:val="000000"/>
              </w:rPr>
              <w:t>9</w:t>
            </w:r>
            <w:r w:rsidR="0079654A" w:rsidRPr="0079654A">
              <w:rPr>
                <w:bCs/>
                <w:color w:val="000000"/>
                <w:highlight w:val="yellow"/>
              </w:rPr>
              <w:t>.</w:t>
            </w:r>
            <w:r w:rsidRPr="00FB44C4">
              <w:rPr>
                <w:bCs/>
                <w:color w:val="000000"/>
              </w:rPr>
              <w:t>32</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18</w:t>
            </w:r>
            <w:r w:rsidR="0079654A" w:rsidRPr="0079654A">
              <w:rPr>
                <w:bCs/>
                <w:color w:val="000000"/>
                <w:highlight w:val="yellow"/>
              </w:rPr>
              <w:t>.</w:t>
            </w:r>
            <w:r w:rsidRPr="00FB44C4">
              <w:rPr>
                <w:bCs/>
                <w:color w:val="000000"/>
              </w:rPr>
              <w:t>08</w:t>
            </w:r>
          </w:p>
        </w:tc>
        <w:tc>
          <w:tcPr>
            <w:tcW w:w="504" w:type="pct"/>
            <w:vAlign w:val="bottom"/>
          </w:tcPr>
          <w:p w:rsidR="00FA5FFA" w:rsidRPr="00FB44C4" w:rsidRDefault="00FA5FFA" w:rsidP="00334199">
            <w:pPr>
              <w:spacing w:line="480" w:lineRule="auto"/>
              <w:jc w:val="center"/>
              <w:rPr>
                <w:color w:val="000000"/>
              </w:rPr>
            </w:pPr>
            <w:r w:rsidRPr="00FB44C4">
              <w:rPr>
                <w:bCs/>
                <w:color w:val="000000"/>
              </w:rPr>
              <w:t> </w:t>
            </w:r>
          </w:p>
        </w:tc>
      </w:tr>
      <w:tr w:rsidR="00FA5FFA" w:rsidRPr="00FB44C4" w:rsidTr="006F70B9">
        <w:trPr>
          <w:trHeight w:hRule="exact" w:val="369"/>
        </w:trPr>
        <w:tc>
          <w:tcPr>
            <w:tcW w:w="670" w:type="pct"/>
            <w:vMerge/>
            <w:vAlign w:val="bottom"/>
          </w:tcPr>
          <w:p w:rsidR="00FA5FFA" w:rsidRPr="00FB44C4" w:rsidRDefault="00FA5FFA" w:rsidP="006F70B9">
            <w:pPr>
              <w:spacing w:line="480" w:lineRule="auto"/>
              <w:jc w:val="center"/>
              <w:rPr>
                <w:b/>
                <w:bCs/>
              </w:rPr>
            </w:pPr>
          </w:p>
        </w:tc>
        <w:tc>
          <w:tcPr>
            <w:tcW w:w="1298" w:type="pct"/>
            <w:vAlign w:val="center"/>
          </w:tcPr>
          <w:p w:rsidR="00FA5FFA" w:rsidRPr="00FB44C4" w:rsidRDefault="00FA5FFA" w:rsidP="00334199">
            <w:pPr>
              <w:spacing w:line="480" w:lineRule="auto"/>
              <w:jc w:val="center"/>
              <w:rPr>
                <w:bCs/>
              </w:rPr>
            </w:pPr>
            <w:r w:rsidRPr="00FB44C4">
              <w:rPr>
                <w:bCs/>
              </w:rPr>
              <w:t>Cobalt Solid Solution</w:t>
            </w:r>
          </w:p>
        </w:tc>
        <w:tc>
          <w:tcPr>
            <w:tcW w:w="505" w:type="pct"/>
            <w:vAlign w:val="bottom"/>
          </w:tcPr>
          <w:p w:rsidR="00FA5FFA" w:rsidRPr="00FB44C4" w:rsidRDefault="00C71E98" w:rsidP="00334199">
            <w:pPr>
              <w:spacing w:line="480" w:lineRule="auto"/>
              <w:jc w:val="center"/>
              <w:rPr>
                <w:color w:val="000000"/>
              </w:rPr>
            </w:pPr>
            <w:r>
              <w:rPr>
                <w:color w:val="000000"/>
              </w:rPr>
              <w:t>----</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11</w:t>
            </w:r>
            <w:r w:rsidR="0079654A" w:rsidRPr="0079654A">
              <w:rPr>
                <w:bCs/>
                <w:color w:val="000000"/>
                <w:highlight w:val="yellow"/>
              </w:rPr>
              <w:t>.</w:t>
            </w:r>
            <w:r w:rsidRPr="00FB44C4">
              <w:rPr>
                <w:bCs/>
                <w:color w:val="000000"/>
              </w:rPr>
              <w:t>84</w:t>
            </w:r>
          </w:p>
        </w:tc>
        <w:tc>
          <w:tcPr>
            <w:tcW w:w="506" w:type="pct"/>
            <w:vAlign w:val="bottom"/>
          </w:tcPr>
          <w:p w:rsidR="00FA5FFA" w:rsidRPr="00FB44C4" w:rsidRDefault="00AD56F7" w:rsidP="00334199">
            <w:pPr>
              <w:spacing w:line="480" w:lineRule="auto"/>
              <w:jc w:val="center"/>
              <w:rPr>
                <w:color w:val="000000"/>
              </w:rPr>
            </w:pPr>
            <w:r>
              <w:rPr>
                <w:bCs/>
                <w:color w:val="000000"/>
              </w:rPr>
              <w:t>Bal.</w:t>
            </w:r>
          </w:p>
        </w:tc>
        <w:tc>
          <w:tcPr>
            <w:tcW w:w="505" w:type="pct"/>
            <w:vAlign w:val="bottom"/>
          </w:tcPr>
          <w:p w:rsidR="00FA5FFA" w:rsidRPr="00FB44C4" w:rsidRDefault="00FA5FFA" w:rsidP="00334199">
            <w:pPr>
              <w:spacing w:line="480" w:lineRule="auto"/>
              <w:jc w:val="center"/>
              <w:rPr>
                <w:color w:val="000000"/>
              </w:rPr>
            </w:pPr>
            <w:r w:rsidRPr="00FB44C4">
              <w:rPr>
                <w:bCs/>
                <w:color w:val="000000"/>
              </w:rPr>
              <w:t>13</w:t>
            </w:r>
            <w:r w:rsidR="0079654A" w:rsidRPr="0079654A">
              <w:rPr>
                <w:bCs/>
                <w:color w:val="000000"/>
                <w:highlight w:val="yellow"/>
              </w:rPr>
              <w:t>.</w:t>
            </w:r>
            <w:r w:rsidRPr="00FB44C4">
              <w:rPr>
                <w:bCs/>
                <w:color w:val="000000"/>
              </w:rPr>
              <w:t>44</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21</w:t>
            </w:r>
            <w:r w:rsidR="0079654A" w:rsidRPr="0079654A">
              <w:rPr>
                <w:bCs/>
                <w:color w:val="000000"/>
                <w:highlight w:val="yellow"/>
              </w:rPr>
              <w:t>.</w:t>
            </w:r>
            <w:r w:rsidRPr="00FB44C4">
              <w:rPr>
                <w:bCs/>
                <w:color w:val="000000"/>
              </w:rPr>
              <w:t>08</w:t>
            </w:r>
          </w:p>
        </w:tc>
        <w:tc>
          <w:tcPr>
            <w:tcW w:w="504" w:type="pct"/>
            <w:vAlign w:val="bottom"/>
          </w:tcPr>
          <w:p w:rsidR="00FA5FFA" w:rsidRPr="00FB44C4" w:rsidRDefault="00FA5FFA" w:rsidP="00334199">
            <w:pPr>
              <w:spacing w:line="480" w:lineRule="auto"/>
              <w:jc w:val="center"/>
              <w:rPr>
                <w:color w:val="000000"/>
              </w:rPr>
            </w:pPr>
            <w:r w:rsidRPr="00FB44C4">
              <w:rPr>
                <w:bCs/>
                <w:color w:val="000000"/>
              </w:rPr>
              <w:t>4</w:t>
            </w:r>
            <w:r w:rsidR="0079654A" w:rsidRPr="0079654A">
              <w:rPr>
                <w:bCs/>
                <w:color w:val="000000"/>
                <w:highlight w:val="yellow"/>
              </w:rPr>
              <w:t>.</w:t>
            </w:r>
            <w:r w:rsidRPr="00FB44C4">
              <w:rPr>
                <w:bCs/>
                <w:color w:val="000000"/>
              </w:rPr>
              <w:t>14</w:t>
            </w:r>
          </w:p>
        </w:tc>
      </w:tr>
      <w:tr w:rsidR="00FA5FFA" w:rsidRPr="00FB44C4" w:rsidTr="006F70B9">
        <w:trPr>
          <w:trHeight w:hRule="exact" w:val="369"/>
        </w:trPr>
        <w:tc>
          <w:tcPr>
            <w:tcW w:w="670" w:type="pct"/>
            <w:vMerge w:val="restart"/>
            <w:vAlign w:val="bottom"/>
          </w:tcPr>
          <w:p w:rsidR="00FA5FFA" w:rsidRPr="00FB44C4" w:rsidRDefault="00FA5FFA" w:rsidP="006F70B9">
            <w:pPr>
              <w:spacing w:line="480" w:lineRule="auto"/>
              <w:jc w:val="center"/>
              <w:rPr>
                <w:b/>
                <w:bCs/>
              </w:rPr>
            </w:pPr>
            <w:r w:rsidRPr="00FB44C4">
              <w:rPr>
                <w:b/>
                <w:bCs/>
              </w:rPr>
              <w:t>180</w:t>
            </w:r>
          </w:p>
        </w:tc>
        <w:tc>
          <w:tcPr>
            <w:tcW w:w="1298" w:type="pct"/>
            <w:vAlign w:val="center"/>
          </w:tcPr>
          <w:p w:rsidR="00FA5FFA" w:rsidRPr="00FB44C4" w:rsidRDefault="00FA5FFA" w:rsidP="00334199">
            <w:pPr>
              <w:spacing w:line="480" w:lineRule="auto"/>
              <w:jc w:val="center"/>
              <w:rPr>
                <w:bCs/>
              </w:rPr>
            </w:pPr>
            <w:r w:rsidRPr="00FB44C4">
              <w:rPr>
                <w:bCs/>
              </w:rPr>
              <w:t>Eutectic</w:t>
            </w:r>
          </w:p>
        </w:tc>
        <w:tc>
          <w:tcPr>
            <w:tcW w:w="505" w:type="pct"/>
            <w:vAlign w:val="bottom"/>
          </w:tcPr>
          <w:p w:rsidR="00FA5FFA" w:rsidRPr="00FB44C4" w:rsidRDefault="00FA5FFA" w:rsidP="00334199">
            <w:pPr>
              <w:spacing w:line="480" w:lineRule="auto"/>
              <w:jc w:val="center"/>
              <w:rPr>
                <w:color w:val="000000"/>
              </w:rPr>
            </w:pPr>
            <w:r w:rsidRPr="00FB44C4">
              <w:rPr>
                <w:bCs/>
                <w:color w:val="000000"/>
              </w:rPr>
              <w:t>2</w:t>
            </w:r>
            <w:r w:rsidR="0079654A" w:rsidRPr="0079654A">
              <w:rPr>
                <w:bCs/>
                <w:color w:val="000000"/>
                <w:highlight w:val="yellow"/>
              </w:rPr>
              <w:t>.</w:t>
            </w:r>
            <w:r>
              <w:rPr>
                <w:bCs/>
                <w:color w:val="000000"/>
              </w:rPr>
              <w:t>08</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22</w:t>
            </w:r>
            <w:r w:rsidR="0079654A" w:rsidRPr="0079654A">
              <w:rPr>
                <w:bCs/>
                <w:color w:val="000000"/>
                <w:highlight w:val="yellow"/>
              </w:rPr>
              <w:t>.</w:t>
            </w:r>
            <w:r w:rsidRPr="00FB44C4">
              <w:rPr>
                <w:bCs/>
                <w:color w:val="000000"/>
              </w:rPr>
              <w:t>56</w:t>
            </w:r>
          </w:p>
        </w:tc>
        <w:tc>
          <w:tcPr>
            <w:tcW w:w="506" w:type="pct"/>
            <w:vAlign w:val="bottom"/>
          </w:tcPr>
          <w:p w:rsidR="00FA5FFA" w:rsidRPr="00FB44C4" w:rsidRDefault="00AD56F7" w:rsidP="00334199">
            <w:pPr>
              <w:spacing w:line="480" w:lineRule="auto"/>
              <w:jc w:val="center"/>
              <w:rPr>
                <w:color w:val="000000"/>
              </w:rPr>
            </w:pPr>
            <w:r>
              <w:rPr>
                <w:bCs/>
                <w:color w:val="000000"/>
              </w:rPr>
              <w:t>Bal.</w:t>
            </w:r>
          </w:p>
        </w:tc>
        <w:tc>
          <w:tcPr>
            <w:tcW w:w="505" w:type="pct"/>
            <w:vAlign w:val="bottom"/>
          </w:tcPr>
          <w:p w:rsidR="00FA5FFA" w:rsidRPr="00FB44C4" w:rsidRDefault="00FA5FFA" w:rsidP="00334199">
            <w:pPr>
              <w:spacing w:line="480" w:lineRule="auto"/>
              <w:jc w:val="center"/>
              <w:rPr>
                <w:color w:val="000000"/>
              </w:rPr>
            </w:pPr>
            <w:r w:rsidRPr="00FB44C4">
              <w:rPr>
                <w:bCs/>
                <w:color w:val="000000"/>
              </w:rPr>
              <w:t>11</w:t>
            </w:r>
            <w:r w:rsidR="0079654A" w:rsidRPr="0079654A">
              <w:rPr>
                <w:bCs/>
                <w:color w:val="000000"/>
                <w:highlight w:val="yellow"/>
              </w:rPr>
              <w:t>.</w:t>
            </w:r>
            <w:r w:rsidRPr="00FB44C4">
              <w:rPr>
                <w:bCs/>
                <w:color w:val="000000"/>
              </w:rPr>
              <w:t>08</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26</w:t>
            </w:r>
            <w:r w:rsidR="0079654A" w:rsidRPr="0079654A">
              <w:rPr>
                <w:bCs/>
                <w:color w:val="000000"/>
                <w:highlight w:val="yellow"/>
              </w:rPr>
              <w:t>.</w:t>
            </w:r>
            <w:r w:rsidRPr="00FB44C4">
              <w:rPr>
                <w:bCs/>
                <w:color w:val="000000"/>
              </w:rPr>
              <w:t>63</w:t>
            </w:r>
          </w:p>
        </w:tc>
        <w:tc>
          <w:tcPr>
            <w:tcW w:w="504" w:type="pct"/>
            <w:vAlign w:val="bottom"/>
          </w:tcPr>
          <w:p w:rsidR="00FA5FFA" w:rsidRPr="00FB44C4" w:rsidRDefault="00FA5FFA" w:rsidP="00334199">
            <w:pPr>
              <w:spacing w:line="480" w:lineRule="auto"/>
              <w:jc w:val="center"/>
              <w:rPr>
                <w:color w:val="000000"/>
              </w:rPr>
            </w:pPr>
            <w:r w:rsidRPr="00FB44C4">
              <w:rPr>
                <w:bCs/>
                <w:color w:val="000000"/>
              </w:rPr>
              <w:t> </w:t>
            </w:r>
          </w:p>
        </w:tc>
      </w:tr>
      <w:tr w:rsidR="00FA5FFA" w:rsidRPr="00FB44C4" w:rsidTr="006F70B9">
        <w:trPr>
          <w:trHeight w:hRule="exact" w:val="369"/>
        </w:trPr>
        <w:tc>
          <w:tcPr>
            <w:tcW w:w="670" w:type="pct"/>
            <w:vMerge/>
            <w:vAlign w:val="center"/>
          </w:tcPr>
          <w:p w:rsidR="00FA5FFA" w:rsidRPr="00FB44C4" w:rsidRDefault="00FA5FFA" w:rsidP="00334199">
            <w:pPr>
              <w:spacing w:line="480" w:lineRule="auto"/>
              <w:jc w:val="center"/>
              <w:rPr>
                <w:bCs/>
              </w:rPr>
            </w:pPr>
          </w:p>
        </w:tc>
        <w:tc>
          <w:tcPr>
            <w:tcW w:w="1298" w:type="pct"/>
            <w:vAlign w:val="center"/>
          </w:tcPr>
          <w:p w:rsidR="00FA5FFA" w:rsidRPr="00FB44C4" w:rsidRDefault="00FA5FFA" w:rsidP="00334199">
            <w:pPr>
              <w:spacing w:line="480" w:lineRule="auto"/>
              <w:jc w:val="center"/>
              <w:rPr>
                <w:bCs/>
              </w:rPr>
            </w:pPr>
            <w:r w:rsidRPr="00FB44C4">
              <w:rPr>
                <w:bCs/>
              </w:rPr>
              <w:t>Cobalt Solid Solution</w:t>
            </w:r>
          </w:p>
        </w:tc>
        <w:tc>
          <w:tcPr>
            <w:tcW w:w="505" w:type="pct"/>
            <w:vAlign w:val="bottom"/>
          </w:tcPr>
          <w:p w:rsidR="00FA5FFA" w:rsidRPr="00FB44C4" w:rsidRDefault="00C71E98" w:rsidP="00334199">
            <w:pPr>
              <w:spacing w:line="480" w:lineRule="auto"/>
              <w:jc w:val="center"/>
              <w:rPr>
                <w:color w:val="000000"/>
              </w:rPr>
            </w:pPr>
            <w:r>
              <w:rPr>
                <w:bCs/>
                <w:color w:val="000000"/>
              </w:rPr>
              <w:t>----</w:t>
            </w:r>
          </w:p>
        </w:tc>
        <w:tc>
          <w:tcPr>
            <w:tcW w:w="506" w:type="pct"/>
            <w:vAlign w:val="bottom"/>
          </w:tcPr>
          <w:p w:rsidR="00FA5FFA" w:rsidRPr="00FB44C4" w:rsidRDefault="00FA5FFA" w:rsidP="00C70E74">
            <w:pPr>
              <w:spacing w:line="480" w:lineRule="auto"/>
              <w:jc w:val="center"/>
              <w:rPr>
                <w:color w:val="000000"/>
              </w:rPr>
            </w:pPr>
            <w:r w:rsidRPr="00FB44C4">
              <w:rPr>
                <w:bCs/>
                <w:color w:val="000000"/>
              </w:rPr>
              <w:t>11</w:t>
            </w:r>
            <w:r w:rsidR="0079654A" w:rsidRPr="0079654A">
              <w:rPr>
                <w:bCs/>
                <w:color w:val="000000"/>
                <w:highlight w:val="yellow"/>
              </w:rPr>
              <w:t>.</w:t>
            </w:r>
            <w:r w:rsidR="00C70E74">
              <w:rPr>
                <w:bCs/>
                <w:color w:val="000000"/>
              </w:rPr>
              <w:t>5</w:t>
            </w:r>
            <w:r w:rsidRPr="00FB44C4">
              <w:rPr>
                <w:bCs/>
                <w:color w:val="000000"/>
              </w:rPr>
              <w:t>4</w:t>
            </w:r>
          </w:p>
        </w:tc>
        <w:tc>
          <w:tcPr>
            <w:tcW w:w="506" w:type="pct"/>
            <w:vAlign w:val="bottom"/>
          </w:tcPr>
          <w:p w:rsidR="00FA5FFA" w:rsidRPr="00FB44C4" w:rsidRDefault="00AD56F7" w:rsidP="00334199">
            <w:pPr>
              <w:spacing w:line="480" w:lineRule="auto"/>
              <w:jc w:val="center"/>
              <w:rPr>
                <w:color w:val="000000"/>
              </w:rPr>
            </w:pPr>
            <w:r>
              <w:rPr>
                <w:bCs/>
                <w:color w:val="000000"/>
              </w:rPr>
              <w:t>Bal.</w:t>
            </w:r>
          </w:p>
        </w:tc>
        <w:tc>
          <w:tcPr>
            <w:tcW w:w="505" w:type="pct"/>
            <w:vAlign w:val="bottom"/>
          </w:tcPr>
          <w:p w:rsidR="00FA5FFA" w:rsidRPr="00FB44C4" w:rsidRDefault="00FA5FFA" w:rsidP="00334199">
            <w:pPr>
              <w:spacing w:line="480" w:lineRule="auto"/>
              <w:jc w:val="center"/>
              <w:rPr>
                <w:color w:val="000000"/>
              </w:rPr>
            </w:pPr>
            <w:r w:rsidRPr="00FB44C4">
              <w:rPr>
                <w:bCs/>
                <w:color w:val="000000"/>
              </w:rPr>
              <w:t>14</w:t>
            </w:r>
            <w:r w:rsidR="0079654A" w:rsidRPr="0079654A">
              <w:rPr>
                <w:bCs/>
                <w:color w:val="000000"/>
                <w:highlight w:val="yellow"/>
              </w:rPr>
              <w:t>.</w:t>
            </w:r>
            <w:r w:rsidRPr="00FB44C4">
              <w:rPr>
                <w:bCs/>
                <w:color w:val="000000"/>
              </w:rPr>
              <w:t>23</w:t>
            </w:r>
          </w:p>
        </w:tc>
        <w:tc>
          <w:tcPr>
            <w:tcW w:w="506" w:type="pct"/>
            <w:vAlign w:val="bottom"/>
          </w:tcPr>
          <w:p w:rsidR="00FA5FFA" w:rsidRPr="00FB44C4" w:rsidRDefault="00FA5FFA" w:rsidP="00334199">
            <w:pPr>
              <w:spacing w:line="480" w:lineRule="auto"/>
              <w:jc w:val="center"/>
              <w:rPr>
                <w:color w:val="000000"/>
              </w:rPr>
            </w:pPr>
            <w:r w:rsidRPr="00FB44C4">
              <w:rPr>
                <w:bCs/>
                <w:color w:val="000000"/>
              </w:rPr>
              <w:t>27</w:t>
            </w:r>
            <w:r w:rsidR="0079654A" w:rsidRPr="0079654A">
              <w:rPr>
                <w:bCs/>
                <w:color w:val="000000"/>
                <w:highlight w:val="yellow"/>
              </w:rPr>
              <w:t>.</w:t>
            </w:r>
            <w:r w:rsidRPr="00FB44C4">
              <w:rPr>
                <w:bCs/>
                <w:color w:val="000000"/>
              </w:rPr>
              <w:t>28</w:t>
            </w:r>
          </w:p>
        </w:tc>
        <w:tc>
          <w:tcPr>
            <w:tcW w:w="504" w:type="pct"/>
            <w:vAlign w:val="bottom"/>
          </w:tcPr>
          <w:p w:rsidR="00FA5FFA" w:rsidRPr="00FB44C4" w:rsidRDefault="00FA5FFA" w:rsidP="00334199">
            <w:pPr>
              <w:spacing w:line="480" w:lineRule="auto"/>
              <w:jc w:val="center"/>
              <w:rPr>
                <w:color w:val="000000"/>
              </w:rPr>
            </w:pPr>
            <w:r w:rsidRPr="00FB44C4">
              <w:rPr>
                <w:bCs/>
                <w:color w:val="000000"/>
              </w:rPr>
              <w:t>4</w:t>
            </w:r>
            <w:r w:rsidR="0079654A" w:rsidRPr="0079654A">
              <w:rPr>
                <w:bCs/>
                <w:color w:val="000000"/>
                <w:highlight w:val="yellow"/>
              </w:rPr>
              <w:t>.</w:t>
            </w:r>
            <w:r w:rsidRPr="00FB44C4">
              <w:rPr>
                <w:bCs/>
                <w:color w:val="000000"/>
              </w:rPr>
              <w:t>05</w:t>
            </w:r>
          </w:p>
        </w:tc>
      </w:tr>
    </w:tbl>
    <w:p w:rsidR="00FA5FFA" w:rsidRDefault="00FA5FFA" w:rsidP="00FA5FFA">
      <w:pPr>
        <w:spacing w:line="480" w:lineRule="auto"/>
        <w:jc w:val="both"/>
        <w:rPr>
          <w:b/>
        </w:rPr>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FA5FFA" w:rsidRDefault="00FA5FFA" w:rsidP="0094452A">
      <w:pPr>
        <w:autoSpaceDE w:val="0"/>
        <w:autoSpaceDN w:val="0"/>
        <w:adjustRightInd w:val="0"/>
        <w:jc w:val="both"/>
      </w:pPr>
    </w:p>
    <w:p w:rsidR="008B70DC" w:rsidRDefault="008B70DC" w:rsidP="0094452A">
      <w:pPr>
        <w:autoSpaceDE w:val="0"/>
        <w:autoSpaceDN w:val="0"/>
        <w:adjustRightInd w:val="0"/>
        <w:jc w:val="both"/>
      </w:pPr>
    </w:p>
    <w:p w:rsidR="008B70DC" w:rsidRDefault="008B70DC" w:rsidP="0094452A">
      <w:pPr>
        <w:autoSpaceDE w:val="0"/>
        <w:autoSpaceDN w:val="0"/>
        <w:adjustRightInd w:val="0"/>
        <w:jc w:val="both"/>
      </w:pPr>
    </w:p>
    <w:p w:rsidR="00FA5FFA" w:rsidRPr="00FB44C4" w:rsidRDefault="00C41355" w:rsidP="00C911E5">
      <w:pPr>
        <w:spacing w:line="480" w:lineRule="auto"/>
        <w:jc w:val="both"/>
      </w:pPr>
      <w:r w:rsidRPr="00C41355">
        <w:rPr>
          <w:b/>
        </w:rPr>
        <w:lastRenderedPageBreak/>
        <w:t>Fig. 1</w:t>
      </w:r>
      <w:r w:rsidR="00FA5FFA" w:rsidRPr="00FB44C4">
        <w:t xml:space="preserve"> Geometry of welding overlays: thickness (t)</w:t>
      </w:r>
      <w:r w:rsidR="00B901DF">
        <w:t>,</w:t>
      </w:r>
      <w:r w:rsidR="00FA5FFA" w:rsidRPr="00FB44C4">
        <w:t xml:space="preserve"> width (w) and </w:t>
      </w:r>
      <w:proofErr w:type="spellStart"/>
      <w:r w:rsidR="00FA5FFA" w:rsidRPr="00FB44C4">
        <w:t>wettability</w:t>
      </w:r>
      <w:proofErr w:type="spellEnd"/>
      <w:r w:rsidR="00FA5FFA" w:rsidRPr="00FB44C4">
        <w:t xml:space="preserve"> angle (</w:t>
      </w:r>
      <w:r w:rsidR="00FA5FFA" w:rsidRPr="00FB44C4">
        <w:sym w:font="Symbol" w:char="F051"/>
      </w:r>
      <w:r w:rsidR="00FA5FFA" w:rsidRPr="00FB44C4">
        <w:t xml:space="preserve">). </w:t>
      </w:r>
    </w:p>
    <w:p w:rsidR="00FA5FFA" w:rsidRPr="00FB44C4" w:rsidRDefault="00C41355" w:rsidP="00C911E5">
      <w:pPr>
        <w:spacing w:line="480" w:lineRule="auto"/>
        <w:jc w:val="both"/>
      </w:pPr>
      <w:r w:rsidRPr="00C41355">
        <w:rPr>
          <w:b/>
        </w:rPr>
        <w:t>Fig. 2</w:t>
      </w:r>
      <w:r w:rsidR="00FA5FFA" w:rsidRPr="00FB44C4">
        <w:t xml:space="preserve"> X-ray diffraction analysis on </w:t>
      </w:r>
      <w:proofErr w:type="spellStart"/>
      <w:r w:rsidR="00FA5FFA" w:rsidRPr="00FB44C4">
        <w:t>CoCrMoSi</w:t>
      </w:r>
      <w:proofErr w:type="spellEnd"/>
      <w:r w:rsidR="00FA5FFA" w:rsidRPr="00FB44C4">
        <w:t xml:space="preserve"> coating</w:t>
      </w:r>
      <w:r w:rsidR="00B901DF">
        <w:t>s</w:t>
      </w:r>
      <w:r w:rsidR="00FA5FFA" w:rsidRPr="00FB44C4">
        <w:t xml:space="preserve"> deposited with 120</w:t>
      </w:r>
      <w:r w:rsidR="00B901DF">
        <w:t>,</w:t>
      </w:r>
      <w:r w:rsidR="00FA5FFA" w:rsidRPr="00FB44C4">
        <w:t xml:space="preserve"> 150 and 180 A.</w:t>
      </w:r>
    </w:p>
    <w:p w:rsidR="00EB1994" w:rsidRDefault="00C41355" w:rsidP="00EB1994">
      <w:pPr>
        <w:spacing w:line="480" w:lineRule="auto"/>
        <w:jc w:val="both"/>
      </w:pPr>
      <w:r w:rsidRPr="00C41355">
        <w:rPr>
          <w:b/>
        </w:rPr>
        <w:t>Fig. 3</w:t>
      </w:r>
      <w:r w:rsidR="00EB1994" w:rsidRPr="00FB44C4">
        <w:t xml:space="preserve"> Eutectic microstructure </w:t>
      </w:r>
      <w:r w:rsidR="00EB1994">
        <w:t xml:space="preserve">of </w:t>
      </w:r>
      <w:proofErr w:type="spellStart"/>
      <w:r w:rsidR="00EB1994">
        <w:t>CoCrMoSi</w:t>
      </w:r>
      <w:proofErr w:type="spellEnd"/>
      <w:r w:rsidR="00EB1994">
        <w:t xml:space="preserve"> </w:t>
      </w:r>
      <w:r w:rsidR="00EB1994" w:rsidRPr="00FB44C4">
        <w:t xml:space="preserve">PTA coatings </w:t>
      </w:r>
      <w:r w:rsidR="00EB1994">
        <w:t>(</w:t>
      </w:r>
      <w:r w:rsidR="00EB1994" w:rsidRPr="00FB44C4">
        <w:t>120 A</w:t>
      </w:r>
      <w:r w:rsidR="00EB1994">
        <w:t>).</w:t>
      </w:r>
      <w:r w:rsidR="00EB1994" w:rsidRPr="00FB44C4">
        <w:t xml:space="preserve"> </w:t>
      </w:r>
    </w:p>
    <w:p w:rsidR="00EB1994" w:rsidRPr="00FB44C4" w:rsidRDefault="00C41355" w:rsidP="00EB1994">
      <w:pPr>
        <w:spacing w:line="480" w:lineRule="auto"/>
        <w:jc w:val="both"/>
      </w:pPr>
      <w:r w:rsidRPr="00C41355">
        <w:rPr>
          <w:b/>
        </w:rPr>
        <w:t>Fig.</w:t>
      </w:r>
      <w:r w:rsidR="00EB1994" w:rsidRPr="00C41355">
        <w:rPr>
          <w:b/>
        </w:rPr>
        <w:t xml:space="preserve"> 4</w:t>
      </w:r>
      <w:r w:rsidR="00EB1994" w:rsidRPr="00FB44C4">
        <w:t xml:space="preserve"> Hypoeutectic microstructure </w:t>
      </w:r>
      <w:r w:rsidR="00EB1994">
        <w:t>o</w:t>
      </w:r>
      <w:r w:rsidR="00EB1994" w:rsidRPr="00FB44C4">
        <w:t xml:space="preserve">f </w:t>
      </w:r>
      <w:proofErr w:type="spellStart"/>
      <w:r w:rsidR="00EB1994" w:rsidRPr="00FB44C4">
        <w:t>Co</w:t>
      </w:r>
      <w:r w:rsidR="00EB1994">
        <w:t>CrMoSi</w:t>
      </w:r>
      <w:proofErr w:type="spellEnd"/>
      <w:r w:rsidR="00EB1994" w:rsidRPr="00FB44C4">
        <w:t xml:space="preserve"> PTA coatings</w:t>
      </w:r>
      <w:r w:rsidR="00EB1994">
        <w:t xml:space="preserve"> (</w:t>
      </w:r>
      <w:r w:rsidR="00EB1994" w:rsidRPr="00FB44C4">
        <w:t>150 A</w:t>
      </w:r>
      <w:r w:rsidR="00EB1994">
        <w:t>).</w:t>
      </w:r>
    </w:p>
    <w:p w:rsidR="00EB1994" w:rsidRPr="00FB44C4" w:rsidRDefault="00C41355" w:rsidP="00EB1994">
      <w:pPr>
        <w:spacing w:line="480" w:lineRule="auto"/>
        <w:jc w:val="both"/>
      </w:pPr>
      <w:r w:rsidRPr="00C41355">
        <w:rPr>
          <w:b/>
        </w:rPr>
        <w:t>Fig. 5</w:t>
      </w:r>
      <w:r w:rsidR="00EB1994" w:rsidRPr="00FB44C4">
        <w:t xml:space="preserve"> Hypoeutectic microstructure o</w:t>
      </w:r>
      <w:r w:rsidR="00EB1994">
        <w:t>f</w:t>
      </w:r>
      <w:r w:rsidR="00EB1994" w:rsidRPr="00FB44C4">
        <w:t xml:space="preserve"> </w:t>
      </w:r>
      <w:proofErr w:type="spellStart"/>
      <w:r w:rsidR="00EB1994" w:rsidRPr="00FB44C4">
        <w:t>Co</w:t>
      </w:r>
      <w:r w:rsidR="00EB1994">
        <w:t>CrMoSi</w:t>
      </w:r>
      <w:proofErr w:type="spellEnd"/>
      <w:r w:rsidR="00EB1994">
        <w:t xml:space="preserve"> </w:t>
      </w:r>
      <w:r w:rsidR="00EB1994" w:rsidRPr="00FB44C4">
        <w:t>PTA coatin</w:t>
      </w:r>
      <w:r w:rsidR="00EB1994">
        <w:t>gs (180 A).</w:t>
      </w:r>
    </w:p>
    <w:p w:rsidR="00FA5FFA" w:rsidRPr="00FB44C4" w:rsidRDefault="00C41355" w:rsidP="00C911E5">
      <w:pPr>
        <w:spacing w:line="480" w:lineRule="auto"/>
        <w:jc w:val="both"/>
      </w:pPr>
      <w:r w:rsidRPr="00C41355">
        <w:rPr>
          <w:b/>
        </w:rPr>
        <w:t>Fig. 6</w:t>
      </w:r>
      <w:r w:rsidR="00FA5FFA" w:rsidRPr="00FB44C4">
        <w:t xml:space="preserve"> Volume fraction</w:t>
      </w:r>
      <w:r w:rsidR="00ED0D80">
        <w:t xml:space="preserve"> of lamellar eutectic</w:t>
      </w:r>
      <w:r w:rsidR="00FA5FFA" w:rsidRPr="00FB44C4">
        <w:t xml:space="preserve">. </w:t>
      </w:r>
    </w:p>
    <w:p w:rsidR="00FA5FFA" w:rsidRPr="00FB44C4" w:rsidRDefault="00FA5FFA" w:rsidP="00C911E5">
      <w:pPr>
        <w:spacing w:line="480" w:lineRule="auto"/>
        <w:jc w:val="both"/>
      </w:pPr>
      <w:r w:rsidRPr="00C41355">
        <w:rPr>
          <w:b/>
        </w:rPr>
        <w:t>Fig</w:t>
      </w:r>
      <w:r w:rsidR="00C41355" w:rsidRPr="00C41355">
        <w:rPr>
          <w:b/>
        </w:rPr>
        <w:t>.</w:t>
      </w:r>
      <w:r w:rsidRPr="00C41355">
        <w:rPr>
          <w:b/>
        </w:rPr>
        <w:t xml:space="preserve"> 7</w:t>
      </w:r>
      <w:r w:rsidRPr="00FB44C4">
        <w:t xml:space="preserve"> Vickers Hardness of coatings in the as-deposited condition.</w:t>
      </w:r>
    </w:p>
    <w:p w:rsidR="00FA5FFA" w:rsidRPr="00FB44C4" w:rsidRDefault="00FA5FFA" w:rsidP="00C911E5">
      <w:pPr>
        <w:spacing w:line="480" w:lineRule="auto"/>
        <w:jc w:val="both"/>
      </w:pPr>
      <w:r w:rsidRPr="00C41355">
        <w:rPr>
          <w:b/>
        </w:rPr>
        <w:t>Fig</w:t>
      </w:r>
      <w:r w:rsidR="00C41355" w:rsidRPr="00C41355">
        <w:rPr>
          <w:b/>
        </w:rPr>
        <w:t>. 8</w:t>
      </w:r>
      <w:r w:rsidRPr="00FB44C4">
        <w:t xml:space="preserve"> </w:t>
      </w:r>
      <w:r w:rsidR="00764F51" w:rsidRPr="00FB44C4">
        <w:t xml:space="preserve">Wear curves for </w:t>
      </w:r>
      <w:proofErr w:type="spellStart"/>
      <w:r w:rsidR="00764F51" w:rsidRPr="00FB44C4">
        <w:t>CoCrMoSi</w:t>
      </w:r>
      <w:proofErr w:type="spellEnd"/>
      <w:r w:rsidR="00764F51" w:rsidRPr="00FB44C4">
        <w:t xml:space="preserve"> </w:t>
      </w:r>
      <w:r w:rsidR="00764F51">
        <w:t xml:space="preserve">alloy coatings </w:t>
      </w:r>
      <w:r w:rsidR="00764F51" w:rsidRPr="00FB44C4">
        <w:t>(a)</w:t>
      </w:r>
      <w:r w:rsidR="0097340F">
        <w:t xml:space="preserve"> and Wear coefficient</w:t>
      </w:r>
      <w:r w:rsidR="006D3D82">
        <w:t xml:space="preserve"> </w:t>
      </w:r>
      <w:r w:rsidR="006D3D82" w:rsidRPr="00FB44C4">
        <w:t>(b)</w:t>
      </w:r>
      <w:r w:rsidR="00764F51" w:rsidRPr="00FB44C4">
        <w:t>.</w:t>
      </w:r>
    </w:p>
    <w:p w:rsidR="00FA5FFA" w:rsidRPr="00FB44C4" w:rsidRDefault="00C41355" w:rsidP="00C911E5">
      <w:pPr>
        <w:spacing w:line="480" w:lineRule="auto"/>
        <w:jc w:val="both"/>
      </w:pPr>
      <w:r w:rsidRPr="00C41355">
        <w:rPr>
          <w:b/>
        </w:rPr>
        <w:t>Fig. 9</w:t>
      </w:r>
      <w:r w:rsidR="00FA5FFA" w:rsidRPr="00FB44C4">
        <w:t xml:space="preserve"> Ball-on-flat sliding friction coefficient for </w:t>
      </w:r>
      <w:proofErr w:type="spellStart"/>
      <w:r w:rsidR="00FA5FFA" w:rsidRPr="00FB44C4">
        <w:t>CoCrMoSi</w:t>
      </w:r>
      <w:proofErr w:type="spellEnd"/>
      <w:r w:rsidR="00FA5FFA" w:rsidRPr="00FB44C4">
        <w:t xml:space="preserve"> alloy coatings.</w:t>
      </w:r>
    </w:p>
    <w:p w:rsidR="00C911E5" w:rsidRPr="00FB44C4" w:rsidRDefault="00FA5FFA" w:rsidP="00764F51">
      <w:pPr>
        <w:spacing w:line="480" w:lineRule="auto"/>
        <w:jc w:val="both"/>
      </w:pPr>
      <w:r w:rsidRPr="00C41355">
        <w:rPr>
          <w:b/>
        </w:rPr>
        <w:t>Fig</w:t>
      </w:r>
      <w:r w:rsidR="00C41355" w:rsidRPr="00C41355">
        <w:rPr>
          <w:b/>
        </w:rPr>
        <w:t>. 10</w:t>
      </w:r>
      <w:r w:rsidRPr="00FB44C4">
        <w:t xml:space="preserve"> </w:t>
      </w:r>
      <w:r>
        <w:t xml:space="preserve">Grooving details of ball-on-flat sliding tracks: </w:t>
      </w:r>
      <w:r w:rsidRPr="00FB44C4">
        <w:t>(a) 120 A (b) 150 A and (c) 180 A.</w:t>
      </w:r>
    </w:p>
    <w:sectPr w:rsidR="00C911E5" w:rsidRPr="00FB44C4" w:rsidSect="00D76F4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NLOD+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78C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653DE"/>
    <w:multiLevelType w:val="hybridMultilevel"/>
    <w:tmpl w:val="2AAA29E6"/>
    <w:lvl w:ilvl="0" w:tplc="18C457D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7E6568"/>
    <w:multiLevelType w:val="hybridMultilevel"/>
    <w:tmpl w:val="2FEE394C"/>
    <w:lvl w:ilvl="0" w:tplc="68C83816">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39ED7487"/>
    <w:multiLevelType w:val="singleLevel"/>
    <w:tmpl w:val="0416000F"/>
    <w:lvl w:ilvl="0">
      <w:start w:val="1"/>
      <w:numFmt w:val="decimal"/>
      <w:lvlText w:val="%1."/>
      <w:lvlJc w:val="left"/>
      <w:pPr>
        <w:tabs>
          <w:tab w:val="num" w:pos="360"/>
        </w:tabs>
        <w:ind w:left="360" w:hanging="360"/>
      </w:pPr>
      <w:rPr>
        <w:rFonts w:hint="default"/>
      </w:rPr>
    </w:lvl>
  </w:abstractNum>
  <w:abstractNum w:abstractNumId="4">
    <w:nsid w:val="56B077FB"/>
    <w:multiLevelType w:val="hybridMultilevel"/>
    <w:tmpl w:val="9A6815DE"/>
    <w:lvl w:ilvl="0" w:tplc="CCE06A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64E97EC9"/>
    <w:multiLevelType w:val="hybridMultilevel"/>
    <w:tmpl w:val="5D82C1B8"/>
    <w:lvl w:ilvl="0" w:tplc="1004CA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240B0C"/>
    <w:multiLevelType w:val="hybridMultilevel"/>
    <w:tmpl w:val="5EDC9C2C"/>
    <w:lvl w:ilvl="0" w:tplc="A35EE3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D6469C"/>
    <w:multiLevelType w:val="hybridMultilevel"/>
    <w:tmpl w:val="E1783EF6"/>
    <w:lvl w:ilvl="0" w:tplc="550C24E6">
      <w:start w:val="4"/>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compat/>
  <w:rsids>
    <w:rsidRoot w:val="001A2B08"/>
    <w:rsid w:val="00001809"/>
    <w:rsid w:val="00002681"/>
    <w:rsid w:val="00003ACB"/>
    <w:rsid w:val="00006E2A"/>
    <w:rsid w:val="00007B47"/>
    <w:rsid w:val="00007C32"/>
    <w:rsid w:val="000116EF"/>
    <w:rsid w:val="00011C77"/>
    <w:rsid w:val="00012805"/>
    <w:rsid w:val="00012DCB"/>
    <w:rsid w:val="00012EFD"/>
    <w:rsid w:val="00016316"/>
    <w:rsid w:val="00020892"/>
    <w:rsid w:val="0002187D"/>
    <w:rsid w:val="00022094"/>
    <w:rsid w:val="0002336F"/>
    <w:rsid w:val="00025D1C"/>
    <w:rsid w:val="00025FAD"/>
    <w:rsid w:val="000268B5"/>
    <w:rsid w:val="00030287"/>
    <w:rsid w:val="000311CF"/>
    <w:rsid w:val="00031586"/>
    <w:rsid w:val="00031735"/>
    <w:rsid w:val="00031C4B"/>
    <w:rsid w:val="000330D3"/>
    <w:rsid w:val="00033A4F"/>
    <w:rsid w:val="00035052"/>
    <w:rsid w:val="00035F06"/>
    <w:rsid w:val="00036F23"/>
    <w:rsid w:val="000375D2"/>
    <w:rsid w:val="00037B4B"/>
    <w:rsid w:val="00040951"/>
    <w:rsid w:val="00041FA8"/>
    <w:rsid w:val="000426C1"/>
    <w:rsid w:val="00042C2E"/>
    <w:rsid w:val="00042F18"/>
    <w:rsid w:val="000431C6"/>
    <w:rsid w:val="00043E51"/>
    <w:rsid w:val="00045F4D"/>
    <w:rsid w:val="0004664A"/>
    <w:rsid w:val="00047058"/>
    <w:rsid w:val="000473FD"/>
    <w:rsid w:val="000531F4"/>
    <w:rsid w:val="00054678"/>
    <w:rsid w:val="00054763"/>
    <w:rsid w:val="00054D61"/>
    <w:rsid w:val="00054FB9"/>
    <w:rsid w:val="0005547A"/>
    <w:rsid w:val="00055EC7"/>
    <w:rsid w:val="00056328"/>
    <w:rsid w:val="00056E42"/>
    <w:rsid w:val="000570A5"/>
    <w:rsid w:val="00057242"/>
    <w:rsid w:val="00060A57"/>
    <w:rsid w:val="00062C13"/>
    <w:rsid w:val="0006322D"/>
    <w:rsid w:val="0006356F"/>
    <w:rsid w:val="000639DA"/>
    <w:rsid w:val="00063F5C"/>
    <w:rsid w:val="00064CAF"/>
    <w:rsid w:val="00066EE0"/>
    <w:rsid w:val="00070B5E"/>
    <w:rsid w:val="00071DF3"/>
    <w:rsid w:val="000733FE"/>
    <w:rsid w:val="00074629"/>
    <w:rsid w:val="000773E0"/>
    <w:rsid w:val="00080AA5"/>
    <w:rsid w:val="00080BE7"/>
    <w:rsid w:val="000836BA"/>
    <w:rsid w:val="00083E33"/>
    <w:rsid w:val="000844FA"/>
    <w:rsid w:val="0009135C"/>
    <w:rsid w:val="0009204E"/>
    <w:rsid w:val="00093148"/>
    <w:rsid w:val="0009382A"/>
    <w:rsid w:val="000946A9"/>
    <w:rsid w:val="00094917"/>
    <w:rsid w:val="0009525F"/>
    <w:rsid w:val="00096ED5"/>
    <w:rsid w:val="000A0A5B"/>
    <w:rsid w:val="000A141A"/>
    <w:rsid w:val="000A1F15"/>
    <w:rsid w:val="000A2BC9"/>
    <w:rsid w:val="000A44FA"/>
    <w:rsid w:val="000A6757"/>
    <w:rsid w:val="000A6B03"/>
    <w:rsid w:val="000B1007"/>
    <w:rsid w:val="000B237D"/>
    <w:rsid w:val="000B23CF"/>
    <w:rsid w:val="000B3B94"/>
    <w:rsid w:val="000B4C2F"/>
    <w:rsid w:val="000B6299"/>
    <w:rsid w:val="000B799C"/>
    <w:rsid w:val="000C5914"/>
    <w:rsid w:val="000C6B37"/>
    <w:rsid w:val="000C7621"/>
    <w:rsid w:val="000D0207"/>
    <w:rsid w:val="000D0794"/>
    <w:rsid w:val="000D14B6"/>
    <w:rsid w:val="000D22AA"/>
    <w:rsid w:val="000D260A"/>
    <w:rsid w:val="000D32D9"/>
    <w:rsid w:val="000D3C22"/>
    <w:rsid w:val="000D4168"/>
    <w:rsid w:val="000D4229"/>
    <w:rsid w:val="000D4D4E"/>
    <w:rsid w:val="000D73C8"/>
    <w:rsid w:val="000D7519"/>
    <w:rsid w:val="000D77F8"/>
    <w:rsid w:val="000E4560"/>
    <w:rsid w:val="000E7A56"/>
    <w:rsid w:val="000F051E"/>
    <w:rsid w:val="000F15F6"/>
    <w:rsid w:val="000F3249"/>
    <w:rsid w:val="000F3DA4"/>
    <w:rsid w:val="000F46BD"/>
    <w:rsid w:val="000F4AA1"/>
    <w:rsid w:val="001006F6"/>
    <w:rsid w:val="00101471"/>
    <w:rsid w:val="001033F3"/>
    <w:rsid w:val="00103787"/>
    <w:rsid w:val="00104298"/>
    <w:rsid w:val="00104453"/>
    <w:rsid w:val="00104CBC"/>
    <w:rsid w:val="001074F7"/>
    <w:rsid w:val="00107928"/>
    <w:rsid w:val="001106AF"/>
    <w:rsid w:val="00114A13"/>
    <w:rsid w:val="00116F9F"/>
    <w:rsid w:val="00116FFB"/>
    <w:rsid w:val="001200AE"/>
    <w:rsid w:val="00120ADA"/>
    <w:rsid w:val="001224DB"/>
    <w:rsid w:val="0012364A"/>
    <w:rsid w:val="001238B7"/>
    <w:rsid w:val="00124588"/>
    <w:rsid w:val="001259B0"/>
    <w:rsid w:val="00127B01"/>
    <w:rsid w:val="001316BE"/>
    <w:rsid w:val="00133019"/>
    <w:rsid w:val="00133AA4"/>
    <w:rsid w:val="0013628A"/>
    <w:rsid w:val="001454DC"/>
    <w:rsid w:val="00147AB1"/>
    <w:rsid w:val="00147CC9"/>
    <w:rsid w:val="00150F13"/>
    <w:rsid w:val="0015269C"/>
    <w:rsid w:val="00153C81"/>
    <w:rsid w:val="00154AD0"/>
    <w:rsid w:val="00154D02"/>
    <w:rsid w:val="0015709D"/>
    <w:rsid w:val="00157439"/>
    <w:rsid w:val="001609EA"/>
    <w:rsid w:val="00161B2B"/>
    <w:rsid w:val="00164C84"/>
    <w:rsid w:val="0016572B"/>
    <w:rsid w:val="00166B2B"/>
    <w:rsid w:val="00170104"/>
    <w:rsid w:val="00172D40"/>
    <w:rsid w:val="00173A01"/>
    <w:rsid w:val="001750B9"/>
    <w:rsid w:val="00176BF6"/>
    <w:rsid w:val="00176EB6"/>
    <w:rsid w:val="0018073D"/>
    <w:rsid w:val="00180BCD"/>
    <w:rsid w:val="001835E5"/>
    <w:rsid w:val="0018369A"/>
    <w:rsid w:val="001861C0"/>
    <w:rsid w:val="00186336"/>
    <w:rsid w:val="0018721D"/>
    <w:rsid w:val="00195218"/>
    <w:rsid w:val="00195F5E"/>
    <w:rsid w:val="001A0D1D"/>
    <w:rsid w:val="001A2B08"/>
    <w:rsid w:val="001A4BA7"/>
    <w:rsid w:val="001A7AF5"/>
    <w:rsid w:val="001B0EDD"/>
    <w:rsid w:val="001B2BB0"/>
    <w:rsid w:val="001B2FCD"/>
    <w:rsid w:val="001B439F"/>
    <w:rsid w:val="001B54B2"/>
    <w:rsid w:val="001B565D"/>
    <w:rsid w:val="001B7019"/>
    <w:rsid w:val="001B7E7E"/>
    <w:rsid w:val="001C0459"/>
    <w:rsid w:val="001C0BC5"/>
    <w:rsid w:val="001C2874"/>
    <w:rsid w:val="001C2C90"/>
    <w:rsid w:val="001C375B"/>
    <w:rsid w:val="001C4EF5"/>
    <w:rsid w:val="001C6A4C"/>
    <w:rsid w:val="001C6D56"/>
    <w:rsid w:val="001C6DC5"/>
    <w:rsid w:val="001D0C49"/>
    <w:rsid w:val="001D2C81"/>
    <w:rsid w:val="001D34C8"/>
    <w:rsid w:val="001D35D8"/>
    <w:rsid w:val="001D39D2"/>
    <w:rsid w:val="001D5660"/>
    <w:rsid w:val="001D6664"/>
    <w:rsid w:val="001D70F2"/>
    <w:rsid w:val="001D783B"/>
    <w:rsid w:val="001D7A7F"/>
    <w:rsid w:val="001D7AE2"/>
    <w:rsid w:val="001E30A0"/>
    <w:rsid w:val="001E7092"/>
    <w:rsid w:val="001E74F4"/>
    <w:rsid w:val="001F189D"/>
    <w:rsid w:val="001F3414"/>
    <w:rsid w:val="001F601E"/>
    <w:rsid w:val="001F7A91"/>
    <w:rsid w:val="00203FA7"/>
    <w:rsid w:val="00204513"/>
    <w:rsid w:val="00205B9C"/>
    <w:rsid w:val="00206DDA"/>
    <w:rsid w:val="00207428"/>
    <w:rsid w:val="0021109A"/>
    <w:rsid w:val="00211713"/>
    <w:rsid w:val="002128DE"/>
    <w:rsid w:val="00212C39"/>
    <w:rsid w:val="00214BE4"/>
    <w:rsid w:val="00220068"/>
    <w:rsid w:val="00220C71"/>
    <w:rsid w:val="0022199B"/>
    <w:rsid w:val="002230C7"/>
    <w:rsid w:val="002276B0"/>
    <w:rsid w:val="002301CD"/>
    <w:rsid w:val="002314AE"/>
    <w:rsid w:val="00232A18"/>
    <w:rsid w:val="00233556"/>
    <w:rsid w:val="002344DC"/>
    <w:rsid w:val="00236931"/>
    <w:rsid w:val="0023793A"/>
    <w:rsid w:val="002404D8"/>
    <w:rsid w:val="00241764"/>
    <w:rsid w:val="00241791"/>
    <w:rsid w:val="00241824"/>
    <w:rsid w:val="002430FB"/>
    <w:rsid w:val="00244ECA"/>
    <w:rsid w:val="002459B0"/>
    <w:rsid w:val="0024651C"/>
    <w:rsid w:val="00251996"/>
    <w:rsid w:val="00252AFC"/>
    <w:rsid w:val="00253547"/>
    <w:rsid w:val="0025472C"/>
    <w:rsid w:val="00255E1D"/>
    <w:rsid w:val="00261F98"/>
    <w:rsid w:val="00262B5C"/>
    <w:rsid w:val="00264CDF"/>
    <w:rsid w:val="00267C39"/>
    <w:rsid w:val="002701D8"/>
    <w:rsid w:val="0027116F"/>
    <w:rsid w:val="002730A2"/>
    <w:rsid w:val="0027362B"/>
    <w:rsid w:val="00276099"/>
    <w:rsid w:val="0027610D"/>
    <w:rsid w:val="0027653F"/>
    <w:rsid w:val="0027742D"/>
    <w:rsid w:val="00281415"/>
    <w:rsid w:val="00281B32"/>
    <w:rsid w:val="002830DA"/>
    <w:rsid w:val="0028461C"/>
    <w:rsid w:val="00284FE0"/>
    <w:rsid w:val="002854DF"/>
    <w:rsid w:val="00285A32"/>
    <w:rsid w:val="00290CA8"/>
    <w:rsid w:val="00290F4B"/>
    <w:rsid w:val="00291BFB"/>
    <w:rsid w:val="00293A04"/>
    <w:rsid w:val="00295C70"/>
    <w:rsid w:val="00296517"/>
    <w:rsid w:val="002A36D6"/>
    <w:rsid w:val="002B04C2"/>
    <w:rsid w:val="002B4BD1"/>
    <w:rsid w:val="002B5024"/>
    <w:rsid w:val="002B6627"/>
    <w:rsid w:val="002C305F"/>
    <w:rsid w:val="002C371D"/>
    <w:rsid w:val="002C3E12"/>
    <w:rsid w:val="002C5568"/>
    <w:rsid w:val="002C7B6E"/>
    <w:rsid w:val="002D0432"/>
    <w:rsid w:val="002D2080"/>
    <w:rsid w:val="002D24B2"/>
    <w:rsid w:val="002D2BEE"/>
    <w:rsid w:val="002D401C"/>
    <w:rsid w:val="002D5288"/>
    <w:rsid w:val="002D6DED"/>
    <w:rsid w:val="002E12F9"/>
    <w:rsid w:val="002E2969"/>
    <w:rsid w:val="002E2EBD"/>
    <w:rsid w:val="002E4B5C"/>
    <w:rsid w:val="002E4D75"/>
    <w:rsid w:val="002E60BE"/>
    <w:rsid w:val="002E6A51"/>
    <w:rsid w:val="002F0C15"/>
    <w:rsid w:val="002F1DC4"/>
    <w:rsid w:val="002F425C"/>
    <w:rsid w:val="002F6F60"/>
    <w:rsid w:val="003025B6"/>
    <w:rsid w:val="00303F63"/>
    <w:rsid w:val="003048D4"/>
    <w:rsid w:val="00304F6F"/>
    <w:rsid w:val="00310188"/>
    <w:rsid w:val="00312ED7"/>
    <w:rsid w:val="00313B35"/>
    <w:rsid w:val="00313ECB"/>
    <w:rsid w:val="00313FB5"/>
    <w:rsid w:val="00314AA4"/>
    <w:rsid w:val="00315721"/>
    <w:rsid w:val="003158DF"/>
    <w:rsid w:val="00315A3C"/>
    <w:rsid w:val="00316EC0"/>
    <w:rsid w:val="00317159"/>
    <w:rsid w:val="00317C6D"/>
    <w:rsid w:val="00320E8A"/>
    <w:rsid w:val="00322DF8"/>
    <w:rsid w:val="00324126"/>
    <w:rsid w:val="003250E0"/>
    <w:rsid w:val="0033205D"/>
    <w:rsid w:val="00334199"/>
    <w:rsid w:val="00335B21"/>
    <w:rsid w:val="003363EB"/>
    <w:rsid w:val="00344F1A"/>
    <w:rsid w:val="003462BC"/>
    <w:rsid w:val="00346FE3"/>
    <w:rsid w:val="00351099"/>
    <w:rsid w:val="003523C3"/>
    <w:rsid w:val="003545B1"/>
    <w:rsid w:val="00354D5B"/>
    <w:rsid w:val="00355358"/>
    <w:rsid w:val="003568D8"/>
    <w:rsid w:val="003622FB"/>
    <w:rsid w:val="00362A4F"/>
    <w:rsid w:val="0036541A"/>
    <w:rsid w:val="003657FE"/>
    <w:rsid w:val="00365F41"/>
    <w:rsid w:val="00366F82"/>
    <w:rsid w:val="00370594"/>
    <w:rsid w:val="00370FC6"/>
    <w:rsid w:val="003717A6"/>
    <w:rsid w:val="003738D1"/>
    <w:rsid w:val="003760AC"/>
    <w:rsid w:val="003763C0"/>
    <w:rsid w:val="003774FD"/>
    <w:rsid w:val="003807CE"/>
    <w:rsid w:val="003819BD"/>
    <w:rsid w:val="00383560"/>
    <w:rsid w:val="00383A10"/>
    <w:rsid w:val="003843D4"/>
    <w:rsid w:val="00384BCE"/>
    <w:rsid w:val="00387AB9"/>
    <w:rsid w:val="003913A7"/>
    <w:rsid w:val="00391911"/>
    <w:rsid w:val="00391D1A"/>
    <w:rsid w:val="00396171"/>
    <w:rsid w:val="003968FB"/>
    <w:rsid w:val="003A4C9C"/>
    <w:rsid w:val="003A664A"/>
    <w:rsid w:val="003A67B8"/>
    <w:rsid w:val="003A6DC5"/>
    <w:rsid w:val="003A6DEC"/>
    <w:rsid w:val="003B0F50"/>
    <w:rsid w:val="003B3144"/>
    <w:rsid w:val="003B3B91"/>
    <w:rsid w:val="003B3E1B"/>
    <w:rsid w:val="003B5ABE"/>
    <w:rsid w:val="003B6917"/>
    <w:rsid w:val="003B6B32"/>
    <w:rsid w:val="003B787C"/>
    <w:rsid w:val="003B7A49"/>
    <w:rsid w:val="003C00A1"/>
    <w:rsid w:val="003C04C9"/>
    <w:rsid w:val="003C0E67"/>
    <w:rsid w:val="003C0FC4"/>
    <w:rsid w:val="003C109B"/>
    <w:rsid w:val="003C234F"/>
    <w:rsid w:val="003C23AD"/>
    <w:rsid w:val="003C2BF3"/>
    <w:rsid w:val="003C59A9"/>
    <w:rsid w:val="003C5BC6"/>
    <w:rsid w:val="003C6459"/>
    <w:rsid w:val="003C710E"/>
    <w:rsid w:val="003D13C4"/>
    <w:rsid w:val="003D3C5D"/>
    <w:rsid w:val="003D503E"/>
    <w:rsid w:val="003D642B"/>
    <w:rsid w:val="003E00F4"/>
    <w:rsid w:val="003E11AC"/>
    <w:rsid w:val="003E1FE7"/>
    <w:rsid w:val="003E233D"/>
    <w:rsid w:val="003E3E43"/>
    <w:rsid w:val="003E552E"/>
    <w:rsid w:val="003E587E"/>
    <w:rsid w:val="003E59E6"/>
    <w:rsid w:val="003E680D"/>
    <w:rsid w:val="003F2A58"/>
    <w:rsid w:val="003F37F2"/>
    <w:rsid w:val="003F56E5"/>
    <w:rsid w:val="003F603A"/>
    <w:rsid w:val="003F6CC3"/>
    <w:rsid w:val="003F716D"/>
    <w:rsid w:val="00402DC1"/>
    <w:rsid w:val="00404DF6"/>
    <w:rsid w:val="00407582"/>
    <w:rsid w:val="00410171"/>
    <w:rsid w:val="004104F7"/>
    <w:rsid w:val="00412E8A"/>
    <w:rsid w:val="004137CD"/>
    <w:rsid w:val="00413956"/>
    <w:rsid w:val="00414DBE"/>
    <w:rsid w:val="00415EC7"/>
    <w:rsid w:val="004178C4"/>
    <w:rsid w:val="004179AD"/>
    <w:rsid w:val="004239F2"/>
    <w:rsid w:val="00424253"/>
    <w:rsid w:val="0042714D"/>
    <w:rsid w:val="0042728C"/>
    <w:rsid w:val="004274FB"/>
    <w:rsid w:val="004276FF"/>
    <w:rsid w:val="0042773B"/>
    <w:rsid w:val="004301BA"/>
    <w:rsid w:val="004312E2"/>
    <w:rsid w:val="0043508D"/>
    <w:rsid w:val="00436255"/>
    <w:rsid w:val="0043676C"/>
    <w:rsid w:val="00437F3F"/>
    <w:rsid w:val="004456B3"/>
    <w:rsid w:val="00446C6E"/>
    <w:rsid w:val="0045195F"/>
    <w:rsid w:val="00453D9B"/>
    <w:rsid w:val="00455915"/>
    <w:rsid w:val="004560BA"/>
    <w:rsid w:val="00456D63"/>
    <w:rsid w:val="00464391"/>
    <w:rsid w:val="00464497"/>
    <w:rsid w:val="00472CBB"/>
    <w:rsid w:val="0047436C"/>
    <w:rsid w:val="00476358"/>
    <w:rsid w:val="00476395"/>
    <w:rsid w:val="004817A0"/>
    <w:rsid w:val="00482060"/>
    <w:rsid w:val="004823E2"/>
    <w:rsid w:val="00484803"/>
    <w:rsid w:val="00484D12"/>
    <w:rsid w:val="004858D9"/>
    <w:rsid w:val="004869FE"/>
    <w:rsid w:val="00487D6D"/>
    <w:rsid w:val="00490C1E"/>
    <w:rsid w:val="00495B51"/>
    <w:rsid w:val="004A4FBD"/>
    <w:rsid w:val="004A52EC"/>
    <w:rsid w:val="004A680D"/>
    <w:rsid w:val="004B1B2E"/>
    <w:rsid w:val="004B203A"/>
    <w:rsid w:val="004B2696"/>
    <w:rsid w:val="004B774A"/>
    <w:rsid w:val="004C08F7"/>
    <w:rsid w:val="004C31B8"/>
    <w:rsid w:val="004C379F"/>
    <w:rsid w:val="004C3849"/>
    <w:rsid w:val="004C3E48"/>
    <w:rsid w:val="004C73A7"/>
    <w:rsid w:val="004C754B"/>
    <w:rsid w:val="004C7654"/>
    <w:rsid w:val="004D1304"/>
    <w:rsid w:val="004D141E"/>
    <w:rsid w:val="004D163B"/>
    <w:rsid w:val="004D27D1"/>
    <w:rsid w:val="004D3D20"/>
    <w:rsid w:val="004D486C"/>
    <w:rsid w:val="004D53CD"/>
    <w:rsid w:val="004D6FDE"/>
    <w:rsid w:val="004E1A60"/>
    <w:rsid w:val="004E1BEF"/>
    <w:rsid w:val="004E482F"/>
    <w:rsid w:val="004E4C0C"/>
    <w:rsid w:val="004F0D2B"/>
    <w:rsid w:val="004F1C66"/>
    <w:rsid w:val="004F2B7F"/>
    <w:rsid w:val="004F3B2F"/>
    <w:rsid w:val="004F539D"/>
    <w:rsid w:val="0050089B"/>
    <w:rsid w:val="00502B1A"/>
    <w:rsid w:val="00505B51"/>
    <w:rsid w:val="00506E51"/>
    <w:rsid w:val="0051049D"/>
    <w:rsid w:val="005108E4"/>
    <w:rsid w:val="00511093"/>
    <w:rsid w:val="005126D6"/>
    <w:rsid w:val="005130E3"/>
    <w:rsid w:val="00513C02"/>
    <w:rsid w:val="005149AA"/>
    <w:rsid w:val="00514F1D"/>
    <w:rsid w:val="0051527E"/>
    <w:rsid w:val="00521B7E"/>
    <w:rsid w:val="005223E7"/>
    <w:rsid w:val="00522C83"/>
    <w:rsid w:val="00523093"/>
    <w:rsid w:val="00524149"/>
    <w:rsid w:val="0052427D"/>
    <w:rsid w:val="00525367"/>
    <w:rsid w:val="0052712C"/>
    <w:rsid w:val="0053192C"/>
    <w:rsid w:val="00531FDC"/>
    <w:rsid w:val="0053290D"/>
    <w:rsid w:val="005356E3"/>
    <w:rsid w:val="00540A34"/>
    <w:rsid w:val="00540FC0"/>
    <w:rsid w:val="005410D3"/>
    <w:rsid w:val="00543E2B"/>
    <w:rsid w:val="0054665C"/>
    <w:rsid w:val="00556238"/>
    <w:rsid w:val="00556868"/>
    <w:rsid w:val="00557A94"/>
    <w:rsid w:val="005609D5"/>
    <w:rsid w:val="005617FB"/>
    <w:rsid w:val="00562975"/>
    <w:rsid w:val="00563941"/>
    <w:rsid w:val="005659DD"/>
    <w:rsid w:val="00566018"/>
    <w:rsid w:val="00567963"/>
    <w:rsid w:val="0057050F"/>
    <w:rsid w:val="005706D0"/>
    <w:rsid w:val="005729A4"/>
    <w:rsid w:val="005730DF"/>
    <w:rsid w:val="0057387D"/>
    <w:rsid w:val="00580CB0"/>
    <w:rsid w:val="00580FD6"/>
    <w:rsid w:val="00583965"/>
    <w:rsid w:val="00583E47"/>
    <w:rsid w:val="005850ED"/>
    <w:rsid w:val="00585329"/>
    <w:rsid w:val="005901D9"/>
    <w:rsid w:val="00592901"/>
    <w:rsid w:val="0059292B"/>
    <w:rsid w:val="005929F3"/>
    <w:rsid w:val="00592F48"/>
    <w:rsid w:val="00592FD3"/>
    <w:rsid w:val="00594325"/>
    <w:rsid w:val="00594420"/>
    <w:rsid w:val="00594E14"/>
    <w:rsid w:val="00596036"/>
    <w:rsid w:val="0059694C"/>
    <w:rsid w:val="00597C78"/>
    <w:rsid w:val="00597F40"/>
    <w:rsid w:val="005A3067"/>
    <w:rsid w:val="005A3207"/>
    <w:rsid w:val="005A477C"/>
    <w:rsid w:val="005A5459"/>
    <w:rsid w:val="005A7E1E"/>
    <w:rsid w:val="005B1DAB"/>
    <w:rsid w:val="005B2F06"/>
    <w:rsid w:val="005B7776"/>
    <w:rsid w:val="005C3C14"/>
    <w:rsid w:val="005C67E3"/>
    <w:rsid w:val="005C7A38"/>
    <w:rsid w:val="005D009B"/>
    <w:rsid w:val="005D13CA"/>
    <w:rsid w:val="005D299B"/>
    <w:rsid w:val="005D4575"/>
    <w:rsid w:val="005D4744"/>
    <w:rsid w:val="005D54E5"/>
    <w:rsid w:val="005D7037"/>
    <w:rsid w:val="005D79AC"/>
    <w:rsid w:val="005E0FEC"/>
    <w:rsid w:val="005E5744"/>
    <w:rsid w:val="005E702A"/>
    <w:rsid w:val="005E74C4"/>
    <w:rsid w:val="005F19A2"/>
    <w:rsid w:val="005F1DB0"/>
    <w:rsid w:val="005F4744"/>
    <w:rsid w:val="005F6F88"/>
    <w:rsid w:val="005F78C3"/>
    <w:rsid w:val="0060191B"/>
    <w:rsid w:val="00601BEA"/>
    <w:rsid w:val="006023E5"/>
    <w:rsid w:val="006027A6"/>
    <w:rsid w:val="00604AF5"/>
    <w:rsid w:val="006060ED"/>
    <w:rsid w:val="00613BFD"/>
    <w:rsid w:val="00613C22"/>
    <w:rsid w:val="00614063"/>
    <w:rsid w:val="00614225"/>
    <w:rsid w:val="006157CF"/>
    <w:rsid w:val="00620292"/>
    <w:rsid w:val="00621A6F"/>
    <w:rsid w:val="00622279"/>
    <w:rsid w:val="00622F6C"/>
    <w:rsid w:val="00623446"/>
    <w:rsid w:val="00623C11"/>
    <w:rsid w:val="00624A3C"/>
    <w:rsid w:val="0062531B"/>
    <w:rsid w:val="00630FA9"/>
    <w:rsid w:val="0063171C"/>
    <w:rsid w:val="006363D5"/>
    <w:rsid w:val="00636C5E"/>
    <w:rsid w:val="00636E31"/>
    <w:rsid w:val="00640420"/>
    <w:rsid w:val="00644C76"/>
    <w:rsid w:val="006470D7"/>
    <w:rsid w:val="006503A8"/>
    <w:rsid w:val="00650675"/>
    <w:rsid w:val="00651674"/>
    <w:rsid w:val="00652748"/>
    <w:rsid w:val="00653459"/>
    <w:rsid w:val="00654876"/>
    <w:rsid w:val="006564AF"/>
    <w:rsid w:val="0065756B"/>
    <w:rsid w:val="00660AFE"/>
    <w:rsid w:val="006615BB"/>
    <w:rsid w:val="0066232C"/>
    <w:rsid w:val="006631C7"/>
    <w:rsid w:val="006647CE"/>
    <w:rsid w:val="00664B67"/>
    <w:rsid w:val="0066688F"/>
    <w:rsid w:val="00670833"/>
    <w:rsid w:val="006713F6"/>
    <w:rsid w:val="006738A1"/>
    <w:rsid w:val="00673F4F"/>
    <w:rsid w:val="00673FE9"/>
    <w:rsid w:val="00674840"/>
    <w:rsid w:val="00675865"/>
    <w:rsid w:val="00682490"/>
    <w:rsid w:val="00684BE0"/>
    <w:rsid w:val="0068686E"/>
    <w:rsid w:val="00686FAA"/>
    <w:rsid w:val="00690DA5"/>
    <w:rsid w:val="0069105B"/>
    <w:rsid w:val="00692A79"/>
    <w:rsid w:val="006938F4"/>
    <w:rsid w:val="00695B33"/>
    <w:rsid w:val="00696046"/>
    <w:rsid w:val="0069732A"/>
    <w:rsid w:val="00697670"/>
    <w:rsid w:val="006A07A9"/>
    <w:rsid w:val="006A16EC"/>
    <w:rsid w:val="006A2BA4"/>
    <w:rsid w:val="006A322F"/>
    <w:rsid w:val="006A4871"/>
    <w:rsid w:val="006A6025"/>
    <w:rsid w:val="006A63F6"/>
    <w:rsid w:val="006A6925"/>
    <w:rsid w:val="006B2BC1"/>
    <w:rsid w:val="006B4A69"/>
    <w:rsid w:val="006B4C6A"/>
    <w:rsid w:val="006B5236"/>
    <w:rsid w:val="006C0288"/>
    <w:rsid w:val="006C074C"/>
    <w:rsid w:val="006C1576"/>
    <w:rsid w:val="006C343E"/>
    <w:rsid w:val="006C4B2E"/>
    <w:rsid w:val="006C5FAA"/>
    <w:rsid w:val="006C61D3"/>
    <w:rsid w:val="006C66ED"/>
    <w:rsid w:val="006C75EB"/>
    <w:rsid w:val="006C77AE"/>
    <w:rsid w:val="006D20FA"/>
    <w:rsid w:val="006D3D82"/>
    <w:rsid w:val="006D4072"/>
    <w:rsid w:val="006D6FF5"/>
    <w:rsid w:val="006D7406"/>
    <w:rsid w:val="006D7D0C"/>
    <w:rsid w:val="006E0E23"/>
    <w:rsid w:val="006E2541"/>
    <w:rsid w:val="006E4133"/>
    <w:rsid w:val="006E4644"/>
    <w:rsid w:val="006E5007"/>
    <w:rsid w:val="006E6B08"/>
    <w:rsid w:val="006E7912"/>
    <w:rsid w:val="006F028F"/>
    <w:rsid w:val="006F3545"/>
    <w:rsid w:val="006F4D9E"/>
    <w:rsid w:val="006F6011"/>
    <w:rsid w:val="006F6192"/>
    <w:rsid w:val="006F628E"/>
    <w:rsid w:val="006F6CD0"/>
    <w:rsid w:val="006F70B9"/>
    <w:rsid w:val="006F71C2"/>
    <w:rsid w:val="006F76E4"/>
    <w:rsid w:val="00700264"/>
    <w:rsid w:val="00700762"/>
    <w:rsid w:val="00702CB9"/>
    <w:rsid w:val="00704ACB"/>
    <w:rsid w:val="0070560A"/>
    <w:rsid w:val="007105B4"/>
    <w:rsid w:val="00711E2F"/>
    <w:rsid w:val="00721196"/>
    <w:rsid w:val="007212EC"/>
    <w:rsid w:val="007228A2"/>
    <w:rsid w:val="00722939"/>
    <w:rsid w:val="00722A78"/>
    <w:rsid w:val="00722B59"/>
    <w:rsid w:val="007233C2"/>
    <w:rsid w:val="0072571E"/>
    <w:rsid w:val="00727904"/>
    <w:rsid w:val="00734129"/>
    <w:rsid w:val="00734F99"/>
    <w:rsid w:val="00735988"/>
    <w:rsid w:val="00735B56"/>
    <w:rsid w:val="00735FF1"/>
    <w:rsid w:val="0073670A"/>
    <w:rsid w:val="00736F17"/>
    <w:rsid w:val="007400EA"/>
    <w:rsid w:val="00740183"/>
    <w:rsid w:val="0074107C"/>
    <w:rsid w:val="00743F4E"/>
    <w:rsid w:val="007444DA"/>
    <w:rsid w:val="00752B42"/>
    <w:rsid w:val="007534EC"/>
    <w:rsid w:val="007542A5"/>
    <w:rsid w:val="007555FE"/>
    <w:rsid w:val="00756348"/>
    <w:rsid w:val="007600AA"/>
    <w:rsid w:val="00760F8F"/>
    <w:rsid w:val="0076155E"/>
    <w:rsid w:val="00761DC4"/>
    <w:rsid w:val="0076338A"/>
    <w:rsid w:val="0076372F"/>
    <w:rsid w:val="007640B2"/>
    <w:rsid w:val="00764E9E"/>
    <w:rsid w:val="00764F51"/>
    <w:rsid w:val="00765BEF"/>
    <w:rsid w:val="00766C8C"/>
    <w:rsid w:val="00767293"/>
    <w:rsid w:val="00770B61"/>
    <w:rsid w:val="0077328F"/>
    <w:rsid w:val="00773D2C"/>
    <w:rsid w:val="007758F3"/>
    <w:rsid w:val="007815F4"/>
    <w:rsid w:val="00783425"/>
    <w:rsid w:val="00784C58"/>
    <w:rsid w:val="00787A32"/>
    <w:rsid w:val="00791FCD"/>
    <w:rsid w:val="007925EE"/>
    <w:rsid w:val="0079654A"/>
    <w:rsid w:val="00796670"/>
    <w:rsid w:val="007A028E"/>
    <w:rsid w:val="007A0862"/>
    <w:rsid w:val="007A3EE6"/>
    <w:rsid w:val="007A539B"/>
    <w:rsid w:val="007A6296"/>
    <w:rsid w:val="007B08F6"/>
    <w:rsid w:val="007B1AD4"/>
    <w:rsid w:val="007B2016"/>
    <w:rsid w:val="007B3CF4"/>
    <w:rsid w:val="007C097F"/>
    <w:rsid w:val="007C48E3"/>
    <w:rsid w:val="007C4DD5"/>
    <w:rsid w:val="007C52AB"/>
    <w:rsid w:val="007C5CD3"/>
    <w:rsid w:val="007C5EB6"/>
    <w:rsid w:val="007C6D11"/>
    <w:rsid w:val="007C6EC2"/>
    <w:rsid w:val="007D02A4"/>
    <w:rsid w:val="007D040D"/>
    <w:rsid w:val="007D20F7"/>
    <w:rsid w:val="007D3116"/>
    <w:rsid w:val="007D5906"/>
    <w:rsid w:val="007D6431"/>
    <w:rsid w:val="007E3EEA"/>
    <w:rsid w:val="007E4A50"/>
    <w:rsid w:val="007E577B"/>
    <w:rsid w:val="007E6310"/>
    <w:rsid w:val="007E6954"/>
    <w:rsid w:val="007E788C"/>
    <w:rsid w:val="007F0EE5"/>
    <w:rsid w:val="007F3B10"/>
    <w:rsid w:val="007F6014"/>
    <w:rsid w:val="00800188"/>
    <w:rsid w:val="00800A85"/>
    <w:rsid w:val="00801BDB"/>
    <w:rsid w:val="00802516"/>
    <w:rsid w:val="00802AA2"/>
    <w:rsid w:val="008034FE"/>
    <w:rsid w:val="008039EA"/>
    <w:rsid w:val="00804432"/>
    <w:rsid w:val="00805B2C"/>
    <w:rsid w:val="00807B45"/>
    <w:rsid w:val="008123AB"/>
    <w:rsid w:val="0081261A"/>
    <w:rsid w:val="00813B6D"/>
    <w:rsid w:val="00815429"/>
    <w:rsid w:val="0081630F"/>
    <w:rsid w:val="0081631F"/>
    <w:rsid w:val="00820A5C"/>
    <w:rsid w:val="00821553"/>
    <w:rsid w:val="008231F9"/>
    <w:rsid w:val="00826245"/>
    <w:rsid w:val="0083061C"/>
    <w:rsid w:val="008323B8"/>
    <w:rsid w:val="0083295C"/>
    <w:rsid w:val="00841C7B"/>
    <w:rsid w:val="00842847"/>
    <w:rsid w:val="00843815"/>
    <w:rsid w:val="008440C3"/>
    <w:rsid w:val="00844B46"/>
    <w:rsid w:val="00847502"/>
    <w:rsid w:val="00851E2C"/>
    <w:rsid w:val="008523BC"/>
    <w:rsid w:val="008538F2"/>
    <w:rsid w:val="008550F3"/>
    <w:rsid w:val="00855342"/>
    <w:rsid w:val="00855606"/>
    <w:rsid w:val="008565F3"/>
    <w:rsid w:val="008568C8"/>
    <w:rsid w:val="008577E5"/>
    <w:rsid w:val="00866435"/>
    <w:rsid w:val="00866DA0"/>
    <w:rsid w:val="008707A5"/>
    <w:rsid w:val="00871165"/>
    <w:rsid w:val="008718F8"/>
    <w:rsid w:val="008720C9"/>
    <w:rsid w:val="00874302"/>
    <w:rsid w:val="00874CF1"/>
    <w:rsid w:val="00876EB0"/>
    <w:rsid w:val="00877B25"/>
    <w:rsid w:val="00882A69"/>
    <w:rsid w:val="00882A81"/>
    <w:rsid w:val="00883B4D"/>
    <w:rsid w:val="00887DA6"/>
    <w:rsid w:val="008907DF"/>
    <w:rsid w:val="00891BBB"/>
    <w:rsid w:val="00892F33"/>
    <w:rsid w:val="008946B3"/>
    <w:rsid w:val="008972C0"/>
    <w:rsid w:val="008976B8"/>
    <w:rsid w:val="008A013C"/>
    <w:rsid w:val="008A2328"/>
    <w:rsid w:val="008A3C2F"/>
    <w:rsid w:val="008B26BA"/>
    <w:rsid w:val="008B27E9"/>
    <w:rsid w:val="008B3FF9"/>
    <w:rsid w:val="008B52D9"/>
    <w:rsid w:val="008B70DC"/>
    <w:rsid w:val="008B7D05"/>
    <w:rsid w:val="008C02BF"/>
    <w:rsid w:val="008C258E"/>
    <w:rsid w:val="008C2E57"/>
    <w:rsid w:val="008C400E"/>
    <w:rsid w:val="008C43E1"/>
    <w:rsid w:val="008C4484"/>
    <w:rsid w:val="008C4532"/>
    <w:rsid w:val="008C6BBB"/>
    <w:rsid w:val="008C6E58"/>
    <w:rsid w:val="008C6E8D"/>
    <w:rsid w:val="008C79A5"/>
    <w:rsid w:val="008D09FD"/>
    <w:rsid w:val="008D0A9C"/>
    <w:rsid w:val="008D0DF4"/>
    <w:rsid w:val="008D1B88"/>
    <w:rsid w:val="008D412B"/>
    <w:rsid w:val="008D4FA9"/>
    <w:rsid w:val="008D6D7C"/>
    <w:rsid w:val="008E440D"/>
    <w:rsid w:val="008E4B0C"/>
    <w:rsid w:val="008F1672"/>
    <w:rsid w:val="008F26A1"/>
    <w:rsid w:val="008F3587"/>
    <w:rsid w:val="008F5266"/>
    <w:rsid w:val="008F590D"/>
    <w:rsid w:val="00901E4D"/>
    <w:rsid w:val="009061EF"/>
    <w:rsid w:val="00910188"/>
    <w:rsid w:val="0091132B"/>
    <w:rsid w:val="0091187F"/>
    <w:rsid w:val="00911BCF"/>
    <w:rsid w:val="0091241C"/>
    <w:rsid w:val="009142CC"/>
    <w:rsid w:val="009159FD"/>
    <w:rsid w:val="00916A73"/>
    <w:rsid w:val="0091709B"/>
    <w:rsid w:val="00917D15"/>
    <w:rsid w:val="009257C8"/>
    <w:rsid w:val="00927E35"/>
    <w:rsid w:val="00930D91"/>
    <w:rsid w:val="00930E0F"/>
    <w:rsid w:val="009318E7"/>
    <w:rsid w:val="00934AE5"/>
    <w:rsid w:val="009357DD"/>
    <w:rsid w:val="00935D7F"/>
    <w:rsid w:val="00937FAE"/>
    <w:rsid w:val="009436CA"/>
    <w:rsid w:val="0094452A"/>
    <w:rsid w:val="009462A2"/>
    <w:rsid w:val="0094772F"/>
    <w:rsid w:val="00953A39"/>
    <w:rsid w:val="00953B0D"/>
    <w:rsid w:val="00954471"/>
    <w:rsid w:val="00954D69"/>
    <w:rsid w:val="00956CA3"/>
    <w:rsid w:val="009609C9"/>
    <w:rsid w:val="009629A7"/>
    <w:rsid w:val="0096493F"/>
    <w:rsid w:val="0096636C"/>
    <w:rsid w:val="00966F46"/>
    <w:rsid w:val="009703BC"/>
    <w:rsid w:val="00970471"/>
    <w:rsid w:val="009711DD"/>
    <w:rsid w:val="0097163B"/>
    <w:rsid w:val="0097340F"/>
    <w:rsid w:val="00974FC1"/>
    <w:rsid w:val="0097722A"/>
    <w:rsid w:val="00980468"/>
    <w:rsid w:val="00982BB7"/>
    <w:rsid w:val="00983263"/>
    <w:rsid w:val="00983F4D"/>
    <w:rsid w:val="009849B0"/>
    <w:rsid w:val="009858A3"/>
    <w:rsid w:val="009874D2"/>
    <w:rsid w:val="0099059D"/>
    <w:rsid w:val="009931BC"/>
    <w:rsid w:val="0099446D"/>
    <w:rsid w:val="00994B97"/>
    <w:rsid w:val="00995FA8"/>
    <w:rsid w:val="0099654E"/>
    <w:rsid w:val="00997920"/>
    <w:rsid w:val="009A4B39"/>
    <w:rsid w:val="009A5C6D"/>
    <w:rsid w:val="009A6522"/>
    <w:rsid w:val="009A7DBB"/>
    <w:rsid w:val="009B01FB"/>
    <w:rsid w:val="009B23B2"/>
    <w:rsid w:val="009B2EF9"/>
    <w:rsid w:val="009B428C"/>
    <w:rsid w:val="009B7725"/>
    <w:rsid w:val="009B7B9C"/>
    <w:rsid w:val="009B7EDD"/>
    <w:rsid w:val="009C2C4D"/>
    <w:rsid w:val="009C39D5"/>
    <w:rsid w:val="009C47E6"/>
    <w:rsid w:val="009C4995"/>
    <w:rsid w:val="009C66B4"/>
    <w:rsid w:val="009C6A5A"/>
    <w:rsid w:val="009C6F48"/>
    <w:rsid w:val="009C7549"/>
    <w:rsid w:val="009C7C93"/>
    <w:rsid w:val="009D2F9A"/>
    <w:rsid w:val="009D35D8"/>
    <w:rsid w:val="009D4592"/>
    <w:rsid w:val="009D708A"/>
    <w:rsid w:val="009D7140"/>
    <w:rsid w:val="009E0B8F"/>
    <w:rsid w:val="009E2454"/>
    <w:rsid w:val="009E2550"/>
    <w:rsid w:val="009E34D6"/>
    <w:rsid w:val="009E5698"/>
    <w:rsid w:val="009F1C64"/>
    <w:rsid w:val="009F205C"/>
    <w:rsid w:val="009F43CA"/>
    <w:rsid w:val="009F5391"/>
    <w:rsid w:val="009F56B0"/>
    <w:rsid w:val="009F7002"/>
    <w:rsid w:val="00A01D53"/>
    <w:rsid w:val="00A030B4"/>
    <w:rsid w:val="00A04266"/>
    <w:rsid w:val="00A05CA7"/>
    <w:rsid w:val="00A05F82"/>
    <w:rsid w:val="00A068E4"/>
    <w:rsid w:val="00A06DB8"/>
    <w:rsid w:val="00A10DFC"/>
    <w:rsid w:val="00A126E1"/>
    <w:rsid w:val="00A12956"/>
    <w:rsid w:val="00A12D40"/>
    <w:rsid w:val="00A13031"/>
    <w:rsid w:val="00A13465"/>
    <w:rsid w:val="00A14577"/>
    <w:rsid w:val="00A16965"/>
    <w:rsid w:val="00A20140"/>
    <w:rsid w:val="00A22682"/>
    <w:rsid w:val="00A236C4"/>
    <w:rsid w:val="00A31136"/>
    <w:rsid w:val="00A31240"/>
    <w:rsid w:val="00A3290C"/>
    <w:rsid w:val="00A32A06"/>
    <w:rsid w:val="00A33E98"/>
    <w:rsid w:val="00A3492A"/>
    <w:rsid w:val="00A356C7"/>
    <w:rsid w:val="00A409B1"/>
    <w:rsid w:val="00A4290D"/>
    <w:rsid w:val="00A42C4D"/>
    <w:rsid w:val="00A45F9F"/>
    <w:rsid w:val="00A47CF4"/>
    <w:rsid w:val="00A5063B"/>
    <w:rsid w:val="00A51B0B"/>
    <w:rsid w:val="00A52E6F"/>
    <w:rsid w:val="00A53423"/>
    <w:rsid w:val="00A539F9"/>
    <w:rsid w:val="00A53D0A"/>
    <w:rsid w:val="00A54624"/>
    <w:rsid w:val="00A70B9E"/>
    <w:rsid w:val="00A724E5"/>
    <w:rsid w:val="00A726F0"/>
    <w:rsid w:val="00A72F20"/>
    <w:rsid w:val="00A76DC8"/>
    <w:rsid w:val="00A812EF"/>
    <w:rsid w:val="00A8231A"/>
    <w:rsid w:val="00A83E33"/>
    <w:rsid w:val="00A8428C"/>
    <w:rsid w:val="00A87212"/>
    <w:rsid w:val="00A917CA"/>
    <w:rsid w:val="00A920AA"/>
    <w:rsid w:val="00A93DAC"/>
    <w:rsid w:val="00A95838"/>
    <w:rsid w:val="00A95BCC"/>
    <w:rsid w:val="00A95EC3"/>
    <w:rsid w:val="00AA0C07"/>
    <w:rsid w:val="00AA2D79"/>
    <w:rsid w:val="00AA3858"/>
    <w:rsid w:val="00AA50D7"/>
    <w:rsid w:val="00AA561D"/>
    <w:rsid w:val="00AA56EC"/>
    <w:rsid w:val="00AA69BE"/>
    <w:rsid w:val="00AA7069"/>
    <w:rsid w:val="00AB0570"/>
    <w:rsid w:val="00AB1DE9"/>
    <w:rsid w:val="00AB1F5F"/>
    <w:rsid w:val="00AB2F83"/>
    <w:rsid w:val="00AB33A5"/>
    <w:rsid w:val="00AB35EE"/>
    <w:rsid w:val="00AB4231"/>
    <w:rsid w:val="00AB52BD"/>
    <w:rsid w:val="00AB6020"/>
    <w:rsid w:val="00AB606C"/>
    <w:rsid w:val="00AC1704"/>
    <w:rsid w:val="00AC1D4D"/>
    <w:rsid w:val="00AC2807"/>
    <w:rsid w:val="00AC7975"/>
    <w:rsid w:val="00AC7FA2"/>
    <w:rsid w:val="00AC7FB9"/>
    <w:rsid w:val="00AD0F9E"/>
    <w:rsid w:val="00AD2C7E"/>
    <w:rsid w:val="00AD56F7"/>
    <w:rsid w:val="00AD69DE"/>
    <w:rsid w:val="00AD7BE6"/>
    <w:rsid w:val="00AE0118"/>
    <w:rsid w:val="00AE0F05"/>
    <w:rsid w:val="00AE3526"/>
    <w:rsid w:val="00AE44FC"/>
    <w:rsid w:val="00AF0EE4"/>
    <w:rsid w:val="00AF16DF"/>
    <w:rsid w:val="00AF1841"/>
    <w:rsid w:val="00AF26CE"/>
    <w:rsid w:val="00AF325D"/>
    <w:rsid w:val="00AF3ED4"/>
    <w:rsid w:val="00AF4527"/>
    <w:rsid w:val="00AF50DA"/>
    <w:rsid w:val="00AF5336"/>
    <w:rsid w:val="00AF57E0"/>
    <w:rsid w:val="00B04136"/>
    <w:rsid w:val="00B07694"/>
    <w:rsid w:val="00B11C53"/>
    <w:rsid w:val="00B13774"/>
    <w:rsid w:val="00B14642"/>
    <w:rsid w:val="00B148B4"/>
    <w:rsid w:val="00B1511A"/>
    <w:rsid w:val="00B16080"/>
    <w:rsid w:val="00B16769"/>
    <w:rsid w:val="00B16CF8"/>
    <w:rsid w:val="00B226D0"/>
    <w:rsid w:val="00B237F1"/>
    <w:rsid w:val="00B254DD"/>
    <w:rsid w:val="00B26254"/>
    <w:rsid w:val="00B27054"/>
    <w:rsid w:val="00B2790A"/>
    <w:rsid w:val="00B3068B"/>
    <w:rsid w:val="00B30730"/>
    <w:rsid w:val="00B33A10"/>
    <w:rsid w:val="00B37016"/>
    <w:rsid w:val="00B37FFE"/>
    <w:rsid w:val="00B40A5B"/>
    <w:rsid w:val="00B4492D"/>
    <w:rsid w:val="00B44B2F"/>
    <w:rsid w:val="00B458D7"/>
    <w:rsid w:val="00B45955"/>
    <w:rsid w:val="00B45D9C"/>
    <w:rsid w:val="00B464DE"/>
    <w:rsid w:val="00B46ECF"/>
    <w:rsid w:val="00B473D0"/>
    <w:rsid w:val="00B4755B"/>
    <w:rsid w:val="00B51A29"/>
    <w:rsid w:val="00B5229D"/>
    <w:rsid w:val="00B52694"/>
    <w:rsid w:val="00B531FA"/>
    <w:rsid w:val="00B56CFA"/>
    <w:rsid w:val="00B56E49"/>
    <w:rsid w:val="00B5714D"/>
    <w:rsid w:val="00B57384"/>
    <w:rsid w:val="00B57699"/>
    <w:rsid w:val="00B6546B"/>
    <w:rsid w:val="00B661E1"/>
    <w:rsid w:val="00B66730"/>
    <w:rsid w:val="00B720CA"/>
    <w:rsid w:val="00B72886"/>
    <w:rsid w:val="00B7422B"/>
    <w:rsid w:val="00B81288"/>
    <w:rsid w:val="00B841F2"/>
    <w:rsid w:val="00B84F13"/>
    <w:rsid w:val="00B85970"/>
    <w:rsid w:val="00B901DF"/>
    <w:rsid w:val="00B92A7A"/>
    <w:rsid w:val="00B93984"/>
    <w:rsid w:val="00B9437E"/>
    <w:rsid w:val="00B94E58"/>
    <w:rsid w:val="00B95E70"/>
    <w:rsid w:val="00B95ED1"/>
    <w:rsid w:val="00B96F8E"/>
    <w:rsid w:val="00BA1B04"/>
    <w:rsid w:val="00BA2967"/>
    <w:rsid w:val="00BA3210"/>
    <w:rsid w:val="00BA3554"/>
    <w:rsid w:val="00BA52C0"/>
    <w:rsid w:val="00BB1938"/>
    <w:rsid w:val="00BB19EC"/>
    <w:rsid w:val="00BB284C"/>
    <w:rsid w:val="00BB40E3"/>
    <w:rsid w:val="00BB4418"/>
    <w:rsid w:val="00BB5174"/>
    <w:rsid w:val="00BB605D"/>
    <w:rsid w:val="00BC02F4"/>
    <w:rsid w:val="00BC16E0"/>
    <w:rsid w:val="00BC2A16"/>
    <w:rsid w:val="00BC2A88"/>
    <w:rsid w:val="00BC449B"/>
    <w:rsid w:val="00BC5061"/>
    <w:rsid w:val="00BC5303"/>
    <w:rsid w:val="00BC66AC"/>
    <w:rsid w:val="00BC6880"/>
    <w:rsid w:val="00BC77D9"/>
    <w:rsid w:val="00BC7F93"/>
    <w:rsid w:val="00BD005D"/>
    <w:rsid w:val="00BD257D"/>
    <w:rsid w:val="00BD4844"/>
    <w:rsid w:val="00BD5C64"/>
    <w:rsid w:val="00BD72A5"/>
    <w:rsid w:val="00BE2B04"/>
    <w:rsid w:val="00BE2E1F"/>
    <w:rsid w:val="00BE430D"/>
    <w:rsid w:val="00BE5C9B"/>
    <w:rsid w:val="00BE693B"/>
    <w:rsid w:val="00BE72DF"/>
    <w:rsid w:val="00BF1150"/>
    <w:rsid w:val="00BF3A7B"/>
    <w:rsid w:val="00BF3C6F"/>
    <w:rsid w:val="00BF406B"/>
    <w:rsid w:val="00BF5AC7"/>
    <w:rsid w:val="00BF6476"/>
    <w:rsid w:val="00BF6AE0"/>
    <w:rsid w:val="00BF771A"/>
    <w:rsid w:val="00C005D6"/>
    <w:rsid w:val="00C02648"/>
    <w:rsid w:val="00C057BD"/>
    <w:rsid w:val="00C11F64"/>
    <w:rsid w:val="00C12AB9"/>
    <w:rsid w:val="00C16630"/>
    <w:rsid w:val="00C16F49"/>
    <w:rsid w:val="00C17233"/>
    <w:rsid w:val="00C17DCF"/>
    <w:rsid w:val="00C17FB4"/>
    <w:rsid w:val="00C2017B"/>
    <w:rsid w:val="00C23445"/>
    <w:rsid w:val="00C24FE4"/>
    <w:rsid w:val="00C26021"/>
    <w:rsid w:val="00C26705"/>
    <w:rsid w:val="00C30084"/>
    <w:rsid w:val="00C31511"/>
    <w:rsid w:val="00C32942"/>
    <w:rsid w:val="00C346A4"/>
    <w:rsid w:val="00C349AB"/>
    <w:rsid w:val="00C35980"/>
    <w:rsid w:val="00C36115"/>
    <w:rsid w:val="00C3648C"/>
    <w:rsid w:val="00C40F34"/>
    <w:rsid w:val="00C40FD4"/>
    <w:rsid w:val="00C41283"/>
    <w:rsid w:val="00C41355"/>
    <w:rsid w:val="00C4151D"/>
    <w:rsid w:val="00C45A8C"/>
    <w:rsid w:val="00C4740C"/>
    <w:rsid w:val="00C47B0F"/>
    <w:rsid w:val="00C559E9"/>
    <w:rsid w:val="00C5763E"/>
    <w:rsid w:val="00C604CB"/>
    <w:rsid w:val="00C6057B"/>
    <w:rsid w:val="00C608A1"/>
    <w:rsid w:val="00C6112D"/>
    <w:rsid w:val="00C63F72"/>
    <w:rsid w:val="00C6421A"/>
    <w:rsid w:val="00C66071"/>
    <w:rsid w:val="00C66F8D"/>
    <w:rsid w:val="00C70C59"/>
    <w:rsid w:val="00C70CB3"/>
    <w:rsid w:val="00C70E74"/>
    <w:rsid w:val="00C71990"/>
    <w:rsid w:val="00C71DDE"/>
    <w:rsid w:val="00C71E98"/>
    <w:rsid w:val="00C72B44"/>
    <w:rsid w:val="00C72E85"/>
    <w:rsid w:val="00C769E6"/>
    <w:rsid w:val="00C77478"/>
    <w:rsid w:val="00C77FB9"/>
    <w:rsid w:val="00C81BC0"/>
    <w:rsid w:val="00C82D24"/>
    <w:rsid w:val="00C836EC"/>
    <w:rsid w:val="00C8401C"/>
    <w:rsid w:val="00C84BC6"/>
    <w:rsid w:val="00C909AC"/>
    <w:rsid w:val="00C911E5"/>
    <w:rsid w:val="00C921C3"/>
    <w:rsid w:val="00C9298B"/>
    <w:rsid w:val="00C941D1"/>
    <w:rsid w:val="00C94368"/>
    <w:rsid w:val="00C94A90"/>
    <w:rsid w:val="00C96895"/>
    <w:rsid w:val="00CA17BE"/>
    <w:rsid w:val="00CA38C6"/>
    <w:rsid w:val="00CA3E63"/>
    <w:rsid w:val="00CA5807"/>
    <w:rsid w:val="00CA7D71"/>
    <w:rsid w:val="00CB01CA"/>
    <w:rsid w:val="00CB1392"/>
    <w:rsid w:val="00CB182D"/>
    <w:rsid w:val="00CB5083"/>
    <w:rsid w:val="00CB71AA"/>
    <w:rsid w:val="00CC1672"/>
    <w:rsid w:val="00CC1E89"/>
    <w:rsid w:val="00CC67D5"/>
    <w:rsid w:val="00CC6DEE"/>
    <w:rsid w:val="00CC755F"/>
    <w:rsid w:val="00CD030B"/>
    <w:rsid w:val="00CD3260"/>
    <w:rsid w:val="00CD5C0D"/>
    <w:rsid w:val="00CD7A1D"/>
    <w:rsid w:val="00CD7B90"/>
    <w:rsid w:val="00CE23F0"/>
    <w:rsid w:val="00CE2C1E"/>
    <w:rsid w:val="00CE3071"/>
    <w:rsid w:val="00CE40D1"/>
    <w:rsid w:val="00CE4A5D"/>
    <w:rsid w:val="00CE755B"/>
    <w:rsid w:val="00CE767A"/>
    <w:rsid w:val="00CE7A36"/>
    <w:rsid w:val="00CF3B3C"/>
    <w:rsid w:val="00CF4B4D"/>
    <w:rsid w:val="00CF5668"/>
    <w:rsid w:val="00CF621A"/>
    <w:rsid w:val="00CF6716"/>
    <w:rsid w:val="00CF7C39"/>
    <w:rsid w:val="00D03D79"/>
    <w:rsid w:val="00D04DE7"/>
    <w:rsid w:val="00D05820"/>
    <w:rsid w:val="00D06184"/>
    <w:rsid w:val="00D102F5"/>
    <w:rsid w:val="00D10947"/>
    <w:rsid w:val="00D21D46"/>
    <w:rsid w:val="00D24E7F"/>
    <w:rsid w:val="00D33307"/>
    <w:rsid w:val="00D33A1C"/>
    <w:rsid w:val="00D3460F"/>
    <w:rsid w:val="00D35254"/>
    <w:rsid w:val="00D37531"/>
    <w:rsid w:val="00D40859"/>
    <w:rsid w:val="00D412CD"/>
    <w:rsid w:val="00D46BCD"/>
    <w:rsid w:val="00D47A09"/>
    <w:rsid w:val="00D50C22"/>
    <w:rsid w:val="00D51403"/>
    <w:rsid w:val="00D51A9B"/>
    <w:rsid w:val="00D5474D"/>
    <w:rsid w:val="00D54851"/>
    <w:rsid w:val="00D54D33"/>
    <w:rsid w:val="00D55A13"/>
    <w:rsid w:val="00D56565"/>
    <w:rsid w:val="00D57B3B"/>
    <w:rsid w:val="00D6225D"/>
    <w:rsid w:val="00D62AB0"/>
    <w:rsid w:val="00D63564"/>
    <w:rsid w:val="00D718C7"/>
    <w:rsid w:val="00D730F5"/>
    <w:rsid w:val="00D73D5B"/>
    <w:rsid w:val="00D749D0"/>
    <w:rsid w:val="00D760B8"/>
    <w:rsid w:val="00D765A6"/>
    <w:rsid w:val="00D76DEB"/>
    <w:rsid w:val="00D76F4C"/>
    <w:rsid w:val="00D77B9A"/>
    <w:rsid w:val="00D84784"/>
    <w:rsid w:val="00D86527"/>
    <w:rsid w:val="00D8727B"/>
    <w:rsid w:val="00D87D07"/>
    <w:rsid w:val="00D901C1"/>
    <w:rsid w:val="00D9039D"/>
    <w:rsid w:val="00D93ADC"/>
    <w:rsid w:val="00D94B1A"/>
    <w:rsid w:val="00D954CD"/>
    <w:rsid w:val="00D95D27"/>
    <w:rsid w:val="00DA019D"/>
    <w:rsid w:val="00DA2955"/>
    <w:rsid w:val="00DA4E37"/>
    <w:rsid w:val="00DA5E68"/>
    <w:rsid w:val="00DB13F4"/>
    <w:rsid w:val="00DB304A"/>
    <w:rsid w:val="00DB4368"/>
    <w:rsid w:val="00DB47E4"/>
    <w:rsid w:val="00DB497C"/>
    <w:rsid w:val="00DB6BFB"/>
    <w:rsid w:val="00DB752A"/>
    <w:rsid w:val="00DB7E11"/>
    <w:rsid w:val="00DC2C34"/>
    <w:rsid w:val="00DC2E92"/>
    <w:rsid w:val="00DC2EB6"/>
    <w:rsid w:val="00DC5610"/>
    <w:rsid w:val="00DC5ACE"/>
    <w:rsid w:val="00DC5ED6"/>
    <w:rsid w:val="00DC6152"/>
    <w:rsid w:val="00DC66C7"/>
    <w:rsid w:val="00DC6747"/>
    <w:rsid w:val="00DC7CB3"/>
    <w:rsid w:val="00DD09E0"/>
    <w:rsid w:val="00DD1C67"/>
    <w:rsid w:val="00DD5C81"/>
    <w:rsid w:val="00DD73CE"/>
    <w:rsid w:val="00DD73E7"/>
    <w:rsid w:val="00DE085E"/>
    <w:rsid w:val="00DE0CDA"/>
    <w:rsid w:val="00DE2D20"/>
    <w:rsid w:val="00DE5CE0"/>
    <w:rsid w:val="00DE60DD"/>
    <w:rsid w:val="00DE69B6"/>
    <w:rsid w:val="00DE7315"/>
    <w:rsid w:val="00DE75CD"/>
    <w:rsid w:val="00DE7F52"/>
    <w:rsid w:val="00DF0533"/>
    <w:rsid w:val="00DF0CC3"/>
    <w:rsid w:val="00DF2069"/>
    <w:rsid w:val="00DF2189"/>
    <w:rsid w:val="00DF2447"/>
    <w:rsid w:val="00DF2674"/>
    <w:rsid w:val="00DF2EB9"/>
    <w:rsid w:val="00DF32D2"/>
    <w:rsid w:val="00DF3656"/>
    <w:rsid w:val="00DF5E1E"/>
    <w:rsid w:val="00E004CA"/>
    <w:rsid w:val="00E00868"/>
    <w:rsid w:val="00E00C73"/>
    <w:rsid w:val="00E01FF9"/>
    <w:rsid w:val="00E024A4"/>
    <w:rsid w:val="00E042C5"/>
    <w:rsid w:val="00E04C29"/>
    <w:rsid w:val="00E05840"/>
    <w:rsid w:val="00E073B6"/>
    <w:rsid w:val="00E07CD0"/>
    <w:rsid w:val="00E11A1F"/>
    <w:rsid w:val="00E1267A"/>
    <w:rsid w:val="00E13DD9"/>
    <w:rsid w:val="00E16ECA"/>
    <w:rsid w:val="00E172B9"/>
    <w:rsid w:val="00E20134"/>
    <w:rsid w:val="00E20A30"/>
    <w:rsid w:val="00E20CD6"/>
    <w:rsid w:val="00E215A9"/>
    <w:rsid w:val="00E21E29"/>
    <w:rsid w:val="00E2229A"/>
    <w:rsid w:val="00E23189"/>
    <w:rsid w:val="00E24122"/>
    <w:rsid w:val="00E24EFB"/>
    <w:rsid w:val="00E26619"/>
    <w:rsid w:val="00E30657"/>
    <w:rsid w:val="00E3280F"/>
    <w:rsid w:val="00E338ED"/>
    <w:rsid w:val="00E33AD5"/>
    <w:rsid w:val="00E37CA1"/>
    <w:rsid w:val="00E37EE4"/>
    <w:rsid w:val="00E408C2"/>
    <w:rsid w:val="00E40BD1"/>
    <w:rsid w:val="00E40FE8"/>
    <w:rsid w:val="00E46079"/>
    <w:rsid w:val="00E47F6D"/>
    <w:rsid w:val="00E501AE"/>
    <w:rsid w:val="00E5349A"/>
    <w:rsid w:val="00E5591F"/>
    <w:rsid w:val="00E57554"/>
    <w:rsid w:val="00E57D25"/>
    <w:rsid w:val="00E613E2"/>
    <w:rsid w:val="00E638B0"/>
    <w:rsid w:val="00E70605"/>
    <w:rsid w:val="00E7197C"/>
    <w:rsid w:val="00E72637"/>
    <w:rsid w:val="00E73136"/>
    <w:rsid w:val="00E7332C"/>
    <w:rsid w:val="00E73B3D"/>
    <w:rsid w:val="00E74ACA"/>
    <w:rsid w:val="00E75F77"/>
    <w:rsid w:val="00E76B8E"/>
    <w:rsid w:val="00E76C8A"/>
    <w:rsid w:val="00E80CBB"/>
    <w:rsid w:val="00E83B6C"/>
    <w:rsid w:val="00E8604A"/>
    <w:rsid w:val="00E86227"/>
    <w:rsid w:val="00E86AED"/>
    <w:rsid w:val="00E874EE"/>
    <w:rsid w:val="00E918A3"/>
    <w:rsid w:val="00E935D3"/>
    <w:rsid w:val="00E96506"/>
    <w:rsid w:val="00E972E2"/>
    <w:rsid w:val="00E97962"/>
    <w:rsid w:val="00EA0CBC"/>
    <w:rsid w:val="00EA312A"/>
    <w:rsid w:val="00EA3E6A"/>
    <w:rsid w:val="00EA463D"/>
    <w:rsid w:val="00EB0694"/>
    <w:rsid w:val="00EB1994"/>
    <w:rsid w:val="00EB1A74"/>
    <w:rsid w:val="00EB3605"/>
    <w:rsid w:val="00EB48AB"/>
    <w:rsid w:val="00EB732F"/>
    <w:rsid w:val="00EC1B49"/>
    <w:rsid w:val="00EC1F36"/>
    <w:rsid w:val="00EC31BE"/>
    <w:rsid w:val="00EC4013"/>
    <w:rsid w:val="00EC42F1"/>
    <w:rsid w:val="00EC4596"/>
    <w:rsid w:val="00EC45D4"/>
    <w:rsid w:val="00EC5283"/>
    <w:rsid w:val="00EC6556"/>
    <w:rsid w:val="00ED067C"/>
    <w:rsid w:val="00ED0D80"/>
    <w:rsid w:val="00ED174C"/>
    <w:rsid w:val="00ED330B"/>
    <w:rsid w:val="00ED3556"/>
    <w:rsid w:val="00ED3A30"/>
    <w:rsid w:val="00ED47A8"/>
    <w:rsid w:val="00ED70B8"/>
    <w:rsid w:val="00EE173E"/>
    <w:rsid w:val="00EE54CE"/>
    <w:rsid w:val="00EE6A41"/>
    <w:rsid w:val="00EF1972"/>
    <w:rsid w:val="00EF2618"/>
    <w:rsid w:val="00EF3061"/>
    <w:rsid w:val="00EF402A"/>
    <w:rsid w:val="00EF4811"/>
    <w:rsid w:val="00EF56D5"/>
    <w:rsid w:val="00EF6585"/>
    <w:rsid w:val="00EF6CD6"/>
    <w:rsid w:val="00EF72CA"/>
    <w:rsid w:val="00EF7AC8"/>
    <w:rsid w:val="00F00D5A"/>
    <w:rsid w:val="00F00EB2"/>
    <w:rsid w:val="00F01498"/>
    <w:rsid w:val="00F02507"/>
    <w:rsid w:val="00F04F78"/>
    <w:rsid w:val="00F10B0F"/>
    <w:rsid w:val="00F15B8D"/>
    <w:rsid w:val="00F20C68"/>
    <w:rsid w:val="00F23767"/>
    <w:rsid w:val="00F24986"/>
    <w:rsid w:val="00F258F4"/>
    <w:rsid w:val="00F26BBB"/>
    <w:rsid w:val="00F279A1"/>
    <w:rsid w:val="00F27F09"/>
    <w:rsid w:val="00F30ADC"/>
    <w:rsid w:val="00F31FC8"/>
    <w:rsid w:val="00F37B7B"/>
    <w:rsid w:val="00F4179A"/>
    <w:rsid w:val="00F44E58"/>
    <w:rsid w:val="00F459F2"/>
    <w:rsid w:val="00F51AC7"/>
    <w:rsid w:val="00F53289"/>
    <w:rsid w:val="00F5567A"/>
    <w:rsid w:val="00F557D1"/>
    <w:rsid w:val="00F62D5A"/>
    <w:rsid w:val="00F671CB"/>
    <w:rsid w:val="00F70BB3"/>
    <w:rsid w:val="00F71AAD"/>
    <w:rsid w:val="00F7288A"/>
    <w:rsid w:val="00F732EB"/>
    <w:rsid w:val="00F755C1"/>
    <w:rsid w:val="00F80652"/>
    <w:rsid w:val="00F80656"/>
    <w:rsid w:val="00F81943"/>
    <w:rsid w:val="00F82A2E"/>
    <w:rsid w:val="00F82EF3"/>
    <w:rsid w:val="00F857F1"/>
    <w:rsid w:val="00F87745"/>
    <w:rsid w:val="00F90AEC"/>
    <w:rsid w:val="00F9765D"/>
    <w:rsid w:val="00F97FD9"/>
    <w:rsid w:val="00FA0004"/>
    <w:rsid w:val="00FA04AB"/>
    <w:rsid w:val="00FA1F27"/>
    <w:rsid w:val="00FA3AB9"/>
    <w:rsid w:val="00FA3DF5"/>
    <w:rsid w:val="00FA4607"/>
    <w:rsid w:val="00FA4726"/>
    <w:rsid w:val="00FA5FFA"/>
    <w:rsid w:val="00FA65FC"/>
    <w:rsid w:val="00FB0038"/>
    <w:rsid w:val="00FB0D4A"/>
    <w:rsid w:val="00FB18B4"/>
    <w:rsid w:val="00FB1B22"/>
    <w:rsid w:val="00FB2757"/>
    <w:rsid w:val="00FB3DF6"/>
    <w:rsid w:val="00FB44C4"/>
    <w:rsid w:val="00FB50E8"/>
    <w:rsid w:val="00FB66D0"/>
    <w:rsid w:val="00FB7C5D"/>
    <w:rsid w:val="00FB7D9F"/>
    <w:rsid w:val="00FC0948"/>
    <w:rsid w:val="00FC1D14"/>
    <w:rsid w:val="00FC2DB8"/>
    <w:rsid w:val="00FC463B"/>
    <w:rsid w:val="00FC4C63"/>
    <w:rsid w:val="00FC5184"/>
    <w:rsid w:val="00FC59E7"/>
    <w:rsid w:val="00FC7877"/>
    <w:rsid w:val="00FC7A1A"/>
    <w:rsid w:val="00FD0286"/>
    <w:rsid w:val="00FD06D4"/>
    <w:rsid w:val="00FD0A5B"/>
    <w:rsid w:val="00FD1FA4"/>
    <w:rsid w:val="00FD317A"/>
    <w:rsid w:val="00FD6E34"/>
    <w:rsid w:val="00FD77C4"/>
    <w:rsid w:val="00FE1C01"/>
    <w:rsid w:val="00FE3260"/>
    <w:rsid w:val="00FE5F55"/>
    <w:rsid w:val="00FF1994"/>
    <w:rsid w:val="00FF1D53"/>
    <w:rsid w:val="00FF268A"/>
    <w:rsid w:val="00FF4C06"/>
    <w:rsid w:val="00FF6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B08"/>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41283"/>
    <w:pPr>
      <w:spacing w:line="360" w:lineRule="auto"/>
      <w:ind w:firstLine="708"/>
      <w:jc w:val="both"/>
    </w:pPr>
  </w:style>
  <w:style w:type="paragraph" w:styleId="Corpodetexto">
    <w:name w:val="Body Text"/>
    <w:basedOn w:val="Normal"/>
    <w:rsid w:val="006C75EB"/>
    <w:pPr>
      <w:spacing w:after="120"/>
    </w:pPr>
  </w:style>
  <w:style w:type="character" w:styleId="Hyperlink">
    <w:name w:val="Hyperlink"/>
    <w:rsid w:val="0070560A"/>
    <w:rPr>
      <w:color w:val="0000FF"/>
      <w:u w:val="single"/>
    </w:rPr>
  </w:style>
  <w:style w:type="table" w:styleId="Tabelacomgrade">
    <w:name w:val="Table Grid"/>
    <w:basedOn w:val="Tabelanormal"/>
    <w:rsid w:val="00625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967"/>
    <w:pPr>
      <w:autoSpaceDE w:val="0"/>
      <w:autoSpaceDN w:val="0"/>
      <w:adjustRightInd w:val="0"/>
    </w:pPr>
    <w:rPr>
      <w:rFonts w:ascii="BPNLOD+TimesNewRoman,Bold" w:eastAsia="Calibri" w:hAnsi="BPNLOD+TimesNewRoman,Bold" w:cs="BPNLOD+TimesNewRoman,Bold"/>
      <w:color w:val="000000"/>
      <w:sz w:val="24"/>
      <w:szCs w:val="24"/>
      <w:lang w:eastAsia="en-US"/>
    </w:rPr>
  </w:style>
  <w:style w:type="paragraph" w:styleId="Textodebalo">
    <w:name w:val="Balloon Text"/>
    <w:basedOn w:val="Normal"/>
    <w:link w:val="TextodebaloChar"/>
    <w:rsid w:val="000116EF"/>
    <w:rPr>
      <w:rFonts w:ascii="Tahoma" w:hAnsi="Tahoma" w:cs="Tahoma"/>
      <w:sz w:val="16"/>
      <w:szCs w:val="16"/>
    </w:rPr>
  </w:style>
  <w:style w:type="character" w:customStyle="1" w:styleId="TextodebaloChar">
    <w:name w:val="Texto de balão Char"/>
    <w:basedOn w:val="Fontepargpadro"/>
    <w:link w:val="Textodebalo"/>
    <w:rsid w:val="000116EF"/>
    <w:rPr>
      <w:rFonts w:ascii="Tahoma" w:hAnsi="Tahoma" w:cs="Tahoma"/>
      <w:sz w:val="16"/>
      <w:szCs w:val="16"/>
      <w:lang w:val="en-US"/>
    </w:rPr>
  </w:style>
  <w:style w:type="character" w:styleId="Forte">
    <w:name w:val="Strong"/>
    <w:basedOn w:val="Fontepargpadro"/>
    <w:uiPriority w:val="22"/>
    <w:qFormat/>
    <w:rsid w:val="007C6D11"/>
    <w:rPr>
      <w:b/>
      <w:bCs/>
    </w:rPr>
  </w:style>
  <w:style w:type="character" w:styleId="nfase">
    <w:name w:val="Emphasis"/>
    <w:basedOn w:val="Fontepargpadro"/>
    <w:uiPriority w:val="20"/>
    <w:qFormat/>
    <w:rsid w:val="007C6D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3297</Words>
  <Characters>18798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Effect of Temperature on characteristics of Co-Based Alloy Coatings</vt:lpstr>
    </vt:vector>
  </TitlesOfParts>
  <Company>Microsoft</Company>
  <LinksUpToDate>false</LinksUpToDate>
  <CharactersWithSpaces>22051</CharactersWithSpaces>
  <SharedDoc>false</SharedDoc>
  <HLinks>
    <vt:vector size="6" baseType="variant">
      <vt:variant>
        <vt:i4>2490371</vt:i4>
      </vt:variant>
      <vt:variant>
        <vt:i4>0</vt:i4>
      </vt:variant>
      <vt:variant>
        <vt:i4>0</vt:i4>
      </vt:variant>
      <vt:variant>
        <vt:i4>5</vt:i4>
      </vt:variant>
      <vt:variant>
        <vt:lpwstr>mailto:scheid@ufpr.br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characteristics of Co-Based Alloy Coatings</dc:title>
  <dc:creator>cs51408</dc:creator>
  <cp:lastModifiedBy>Ron Martinez</cp:lastModifiedBy>
  <cp:revision>2</cp:revision>
  <cp:lastPrinted>2013-04-30T20:48:00Z</cp:lastPrinted>
  <dcterms:created xsi:type="dcterms:W3CDTF">2015-04-01T11:48:00Z</dcterms:created>
  <dcterms:modified xsi:type="dcterms:W3CDTF">2015-04-01T11:48:00Z</dcterms:modified>
</cp:coreProperties>
</file>