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267F" w:rsidRPr="00683DD4" w:rsidRDefault="00D3492E" w:rsidP="00683DD4">
      <w:pPr>
        <w:pStyle w:val="Ttulo1"/>
        <w:spacing w:before="0" w:after="0" w:line="360" w:lineRule="auto"/>
        <w:jc w:val="center"/>
        <w:rPr>
          <w:rFonts w:ascii="Times New Roman" w:hAnsi="Times New Roman"/>
          <w:sz w:val="24"/>
          <w:szCs w:val="24"/>
          <w:lang w:eastAsia="en-US"/>
        </w:rPr>
      </w:pPr>
      <w:bookmarkStart w:id="0" w:name="_Toc443247116"/>
      <w:bookmarkStart w:id="1" w:name="_Toc416859123"/>
      <w:r>
        <w:rPr>
          <w:rFonts w:ascii="Times New Roman" w:hAnsi="Times New Roman"/>
          <w:sz w:val="24"/>
          <w:szCs w:val="24"/>
          <w:lang w:eastAsia="en-US"/>
        </w:rPr>
        <w:t xml:space="preserve">SOLUÇÕES DE EQUILÍBRIOS DE SOLOS </w:t>
      </w:r>
      <w:r w:rsidR="00F154F8" w:rsidRPr="001C4454">
        <w:rPr>
          <w:rFonts w:ascii="Times New Roman" w:hAnsi="Times New Roman"/>
          <w:sz w:val="24"/>
          <w:szCs w:val="24"/>
          <w:lang w:eastAsia="en-US"/>
        </w:rPr>
        <w:t xml:space="preserve">CONTAMINADOS COM </w:t>
      </w:r>
      <w:r>
        <w:rPr>
          <w:rFonts w:ascii="Times New Roman" w:hAnsi="Times New Roman"/>
          <w:sz w:val="24"/>
          <w:szCs w:val="24"/>
          <w:lang w:eastAsia="en-US"/>
        </w:rPr>
        <w:t>CHUMBO</w:t>
      </w:r>
      <w:r w:rsidR="00F154F8" w:rsidRPr="001C4454">
        <w:rPr>
          <w:rFonts w:ascii="Times New Roman" w:hAnsi="Times New Roman"/>
          <w:sz w:val="24"/>
          <w:szCs w:val="24"/>
          <w:lang w:eastAsia="en-US"/>
        </w:rPr>
        <w:t xml:space="preserve"> E REMEDIADOS COM FOSFATOS</w:t>
      </w:r>
      <w:bookmarkEnd w:id="0"/>
    </w:p>
    <w:p w:rsidR="00CE36B9" w:rsidRPr="007C62DD" w:rsidRDefault="00CE36B9" w:rsidP="001D1FB8">
      <w:pPr>
        <w:pStyle w:val="Ttulo2"/>
        <w:spacing w:after="0" w:line="360" w:lineRule="auto"/>
        <w:jc w:val="center"/>
        <w:rPr>
          <w:sz w:val="24"/>
          <w:szCs w:val="24"/>
          <w:lang w:val="en-US" w:eastAsia="en-US"/>
        </w:rPr>
      </w:pPr>
      <w:bookmarkStart w:id="2" w:name="_Toc443247117"/>
      <w:r w:rsidRPr="007C62DD">
        <w:rPr>
          <w:sz w:val="24"/>
          <w:szCs w:val="24"/>
          <w:lang w:val="en-US" w:eastAsia="en-US"/>
        </w:rPr>
        <w:t>RESUMO</w:t>
      </w:r>
      <w:bookmarkEnd w:id="2"/>
    </w:p>
    <w:p w:rsidR="00CE36B9" w:rsidRDefault="00CE36B9" w:rsidP="006E0061">
      <w:pPr>
        <w:spacing w:after="0" w:line="360" w:lineRule="auto"/>
        <w:ind w:firstLine="708"/>
        <w:jc w:val="both"/>
        <w:rPr>
          <w:sz w:val="24"/>
        </w:rPr>
      </w:pPr>
      <w:r w:rsidRPr="00CE36B9">
        <w:rPr>
          <w:sz w:val="24"/>
        </w:rPr>
        <w:t xml:space="preserve">A especiação da atividade dos íons em solução usada na modelagem de equilíbrios químicos consiste em importante ferramenta no entendimento dos processos geoquímicos de formação e estabilidade de minerais. Este estudo teve o objetivo de avaliar as mudanças ocorridas na solução do solo e suas implicações no equilíbrio químico da </w:t>
      </w:r>
      <w:proofErr w:type="spellStart"/>
      <w:r w:rsidRPr="00CE36B9">
        <w:rPr>
          <w:sz w:val="24"/>
        </w:rPr>
        <w:t>cloropiromorfita</w:t>
      </w:r>
      <w:proofErr w:type="spellEnd"/>
      <w:r w:rsidRPr="00CE36B9">
        <w:rPr>
          <w:sz w:val="24"/>
        </w:rPr>
        <w:t xml:space="preserve"> em solos com materiais de origem e texturas contrastantes, contaminados com </w:t>
      </w:r>
      <w:proofErr w:type="spellStart"/>
      <w:r w:rsidRPr="00CE36B9">
        <w:rPr>
          <w:sz w:val="24"/>
        </w:rPr>
        <w:t>Pb</w:t>
      </w:r>
      <w:proofErr w:type="spellEnd"/>
      <w:r w:rsidRPr="00CE36B9">
        <w:rPr>
          <w:sz w:val="24"/>
        </w:rPr>
        <w:t xml:space="preserve"> e remediados com fosfatos. Dois solos (pH natural e pH ajustado para 7,0) foram contaminados com duas doses de </w:t>
      </w:r>
      <w:proofErr w:type="spellStart"/>
      <w:r w:rsidRPr="00CE36B9">
        <w:rPr>
          <w:sz w:val="24"/>
        </w:rPr>
        <w:t>Pb</w:t>
      </w:r>
      <w:proofErr w:type="spellEnd"/>
      <w:r w:rsidRPr="00CE36B9">
        <w:rPr>
          <w:sz w:val="24"/>
        </w:rPr>
        <w:t xml:space="preserve"> (1 x a capacidade máxima de adsorção de </w:t>
      </w:r>
      <w:proofErr w:type="spellStart"/>
      <w:r w:rsidRPr="00CE36B9">
        <w:rPr>
          <w:sz w:val="24"/>
        </w:rPr>
        <w:t>Pb</w:t>
      </w:r>
      <w:proofErr w:type="spellEnd"/>
      <w:r w:rsidRPr="00CE36B9">
        <w:rPr>
          <w:sz w:val="24"/>
        </w:rPr>
        <w:t xml:space="preserve"> (</w:t>
      </w:r>
      <w:proofErr w:type="spellStart"/>
      <w:r w:rsidRPr="00CE36B9">
        <w:rPr>
          <w:sz w:val="24"/>
        </w:rPr>
        <w:t>CMAPb</w:t>
      </w:r>
      <w:proofErr w:type="spellEnd"/>
      <w:r w:rsidRPr="00CE36B9">
        <w:rPr>
          <w:sz w:val="24"/>
        </w:rPr>
        <w:t xml:space="preserve">) e 5 x a </w:t>
      </w:r>
      <w:proofErr w:type="spellStart"/>
      <w:r w:rsidRPr="00CE36B9">
        <w:rPr>
          <w:sz w:val="24"/>
        </w:rPr>
        <w:t>CMAPb</w:t>
      </w:r>
      <w:proofErr w:type="spellEnd"/>
      <w:r w:rsidRPr="00CE36B9">
        <w:rPr>
          <w:sz w:val="24"/>
        </w:rPr>
        <w:t xml:space="preserve">), remediados com doses crescentes de fosfatos e avaliados aos 30, 60 e 311 dias de incubação com </w:t>
      </w:r>
      <w:proofErr w:type="spellStart"/>
      <w:r w:rsidRPr="00CE36B9">
        <w:rPr>
          <w:sz w:val="24"/>
        </w:rPr>
        <w:t>Pb</w:t>
      </w:r>
      <w:proofErr w:type="spellEnd"/>
      <w:r w:rsidRPr="00CE36B9">
        <w:rPr>
          <w:sz w:val="24"/>
        </w:rPr>
        <w:t xml:space="preserve"> e zero, 30 e 281 dias de incubação com P. Foram realizadas extrações da solução de equilíbrio do solo para determinação das principais espécies de </w:t>
      </w:r>
      <w:proofErr w:type="spellStart"/>
      <w:r w:rsidRPr="00CE36B9">
        <w:rPr>
          <w:sz w:val="24"/>
        </w:rPr>
        <w:t>Pb</w:t>
      </w:r>
      <w:proofErr w:type="spellEnd"/>
      <w:r w:rsidRPr="00CE36B9">
        <w:rPr>
          <w:sz w:val="24"/>
        </w:rPr>
        <w:t xml:space="preserve"> e P (especiação iônica) pelo software Visual MINTEQ. A formação da </w:t>
      </w:r>
      <w:proofErr w:type="spellStart"/>
      <w:r w:rsidRPr="00CE36B9">
        <w:rPr>
          <w:sz w:val="24"/>
        </w:rPr>
        <w:t>cloropiromorfita</w:t>
      </w:r>
      <w:proofErr w:type="spellEnd"/>
      <w:r w:rsidRPr="00CE36B9">
        <w:rPr>
          <w:sz w:val="24"/>
        </w:rPr>
        <w:t xml:space="preserve"> foi avaliada por meio de predições em gráficos de equilíbrio e campo de estabilidade do mineral. Dentre as principais espécies de </w:t>
      </w:r>
      <w:proofErr w:type="spellStart"/>
      <w:r w:rsidRPr="00CE36B9">
        <w:rPr>
          <w:sz w:val="24"/>
        </w:rPr>
        <w:t>Pb</w:t>
      </w:r>
      <w:proofErr w:type="spellEnd"/>
      <w:r w:rsidRPr="00CE36B9">
        <w:rPr>
          <w:sz w:val="24"/>
        </w:rPr>
        <w:t xml:space="preserve"> houve o predomínio da forma livre Pb</w:t>
      </w:r>
      <w:r w:rsidRPr="00CE36B9">
        <w:rPr>
          <w:sz w:val="24"/>
          <w:vertAlign w:val="superscript"/>
        </w:rPr>
        <w:t>2+</w:t>
      </w:r>
      <w:r w:rsidRPr="00CE36B9">
        <w:rPr>
          <w:sz w:val="24"/>
        </w:rPr>
        <w:t>, variando de 70 a 99 %, enquanto de P predominou a forma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variando de 42 a 93 %. Houve efeito das doses de P aplicadas e do pH inicial (natural e 7,0) na redução do teor de Pb</w:t>
      </w:r>
      <w:r w:rsidRPr="00CE36B9">
        <w:rPr>
          <w:sz w:val="24"/>
          <w:vertAlign w:val="superscript"/>
        </w:rPr>
        <w:t xml:space="preserve">2+ </w:t>
      </w:r>
      <w:r w:rsidRPr="00CE36B9">
        <w:rPr>
          <w:sz w:val="24"/>
        </w:rPr>
        <w:t xml:space="preserve">na solução do solo. A aplicação de P também alterou o pH da solução de equilíbrio, possivelmente pelas reações de formação da </w:t>
      </w:r>
      <w:proofErr w:type="spellStart"/>
      <w:r w:rsidRPr="00CE36B9">
        <w:rPr>
          <w:sz w:val="24"/>
        </w:rPr>
        <w:t>cloropiromorfita</w:t>
      </w:r>
      <w:proofErr w:type="spellEnd"/>
      <w:r w:rsidRPr="00CE36B9">
        <w:rPr>
          <w:sz w:val="24"/>
        </w:rPr>
        <w:t xml:space="preserve"> (liberação de 2 mols de H</w:t>
      </w:r>
      <w:r w:rsidRPr="00CE36B9">
        <w:rPr>
          <w:sz w:val="24"/>
          <w:vertAlign w:val="superscript"/>
        </w:rPr>
        <w:t>+</w:t>
      </w:r>
      <w:r w:rsidRPr="00CE36B9">
        <w:rPr>
          <w:sz w:val="24"/>
        </w:rPr>
        <w:t xml:space="preserve"> para cada mol de </w:t>
      </w:r>
      <w:proofErr w:type="spellStart"/>
      <w:r w:rsidRPr="00CE36B9">
        <w:rPr>
          <w:sz w:val="24"/>
        </w:rPr>
        <w:t>piromorfita</w:t>
      </w:r>
      <w:proofErr w:type="spellEnd"/>
      <w:r w:rsidRPr="00CE36B9">
        <w:rPr>
          <w:sz w:val="24"/>
        </w:rPr>
        <w:t xml:space="preserve"> formada), com efeito mais pronunciado nos maiores níveis de contaminação (5 x </w:t>
      </w:r>
      <w:proofErr w:type="spellStart"/>
      <w:r w:rsidRPr="00CE36B9">
        <w:rPr>
          <w:sz w:val="24"/>
        </w:rPr>
        <w:t>CMAPb</w:t>
      </w:r>
      <w:proofErr w:type="spellEnd"/>
      <w:r w:rsidRPr="00CE36B9">
        <w:rPr>
          <w:sz w:val="24"/>
        </w:rPr>
        <w:t xml:space="preserve">). Nesta condição de maior disponibilidade de </w:t>
      </w:r>
      <w:proofErr w:type="spellStart"/>
      <w:r w:rsidRPr="00CE36B9">
        <w:rPr>
          <w:sz w:val="24"/>
        </w:rPr>
        <w:t>Pb</w:t>
      </w:r>
      <w:proofErr w:type="spellEnd"/>
      <w:r w:rsidRPr="00CE36B9">
        <w:rPr>
          <w:sz w:val="24"/>
        </w:rPr>
        <w:t xml:space="preserve"> houve maior formação de </w:t>
      </w:r>
      <w:proofErr w:type="spellStart"/>
      <w:r w:rsidRPr="00CE36B9">
        <w:rPr>
          <w:sz w:val="24"/>
        </w:rPr>
        <w:t>cloropiromorfita</w:t>
      </w:r>
      <w:proofErr w:type="spellEnd"/>
      <w:r w:rsidRPr="00CE36B9">
        <w:rPr>
          <w:sz w:val="24"/>
        </w:rPr>
        <w:t xml:space="preserve">. Todos os tratamentos ficaram supersaturados em relação à superfície de resposta da </w:t>
      </w:r>
      <w:proofErr w:type="spellStart"/>
      <w:r w:rsidRPr="00CE36B9">
        <w:rPr>
          <w:sz w:val="24"/>
        </w:rPr>
        <w:t>cloropiromorfita</w:t>
      </w:r>
      <w:proofErr w:type="spellEnd"/>
      <w:r w:rsidRPr="00CE36B9">
        <w:rPr>
          <w:sz w:val="24"/>
        </w:rPr>
        <w:t xml:space="preserve"> (condição favorável à formação do mineral). A formação desse mineral resultou em baixos teores de </w:t>
      </w:r>
      <w:proofErr w:type="spellStart"/>
      <w:r w:rsidRPr="00CE36B9">
        <w:rPr>
          <w:sz w:val="24"/>
        </w:rPr>
        <w:t>Pb</w:t>
      </w:r>
      <w:proofErr w:type="spellEnd"/>
      <w:r w:rsidRPr="00CE36B9">
        <w:rPr>
          <w:sz w:val="24"/>
        </w:rPr>
        <w:t xml:space="preserve"> na solução de equilíbrio.</w:t>
      </w:r>
    </w:p>
    <w:p w:rsidR="0037267F" w:rsidRPr="00CE36B9" w:rsidRDefault="0037267F" w:rsidP="006E0061">
      <w:pPr>
        <w:spacing w:after="0" w:line="360" w:lineRule="auto"/>
        <w:ind w:firstLine="708"/>
        <w:jc w:val="both"/>
        <w:rPr>
          <w:sz w:val="24"/>
        </w:rPr>
      </w:pPr>
      <w:bookmarkStart w:id="3" w:name="_GoBack"/>
    </w:p>
    <w:bookmarkEnd w:id="3"/>
    <w:p w:rsidR="00CE36B9" w:rsidRPr="00CE36B9" w:rsidRDefault="00CE36B9" w:rsidP="006E0061">
      <w:pPr>
        <w:spacing w:after="0" w:line="360" w:lineRule="auto"/>
        <w:jc w:val="both"/>
        <w:rPr>
          <w:sz w:val="24"/>
        </w:rPr>
      </w:pPr>
      <w:r w:rsidRPr="00CE36B9">
        <w:rPr>
          <w:b/>
          <w:sz w:val="24"/>
        </w:rPr>
        <w:t>Palavras-chave</w:t>
      </w:r>
      <w:r w:rsidRPr="00CE36B9">
        <w:rPr>
          <w:sz w:val="24"/>
        </w:rPr>
        <w:t>: Estabilização química</w:t>
      </w:r>
      <w:r w:rsidR="006A4C11">
        <w:rPr>
          <w:sz w:val="24"/>
        </w:rPr>
        <w:t>.</w:t>
      </w:r>
      <w:r w:rsidRPr="00CE36B9">
        <w:rPr>
          <w:sz w:val="24"/>
        </w:rPr>
        <w:t xml:space="preserve"> </w:t>
      </w:r>
      <w:r w:rsidR="006A4C11">
        <w:rPr>
          <w:sz w:val="24"/>
        </w:rPr>
        <w:t>S</w:t>
      </w:r>
      <w:r w:rsidRPr="00CE36B9">
        <w:rPr>
          <w:sz w:val="24"/>
        </w:rPr>
        <w:t>olução d</w:t>
      </w:r>
      <w:r w:rsidR="002E2F22">
        <w:rPr>
          <w:sz w:val="24"/>
        </w:rPr>
        <w:t>e equilíbrio</w:t>
      </w:r>
      <w:r w:rsidR="006A4C11">
        <w:rPr>
          <w:sz w:val="24"/>
        </w:rPr>
        <w:t>.</w:t>
      </w:r>
      <w:r w:rsidRPr="00CE36B9">
        <w:rPr>
          <w:sz w:val="24"/>
        </w:rPr>
        <w:t xml:space="preserve"> </w:t>
      </w:r>
      <w:r w:rsidR="006A4C11">
        <w:rPr>
          <w:sz w:val="24"/>
        </w:rPr>
        <w:t>E</w:t>
      </w:r>
      <w:r w:rsidRPr="00CE36B9">
        <w:rPr>
          <w:sz w:val="24"/>
        </w:rPr>
        <w:t xml:space="preserve">speciação de </w:t>
      </w:r>
      <w:proofErr w:type="spellStart"/>
      <w:r w:rsidRPr="00CE36B9">
        <w:rPr>
          <w:sz w:val="24"/>
        </w:rPr>
        <w:t>Pb</w:t>
      </w:r>
      <w:proofErr w:type="spellEnd"/>
      <w:r w:rsidR="006A4C11">
        <w:rPr>
          <w:sz w:val="24"/>
        </w:rPr>
        <w:t>.</w:t>
      </w:r>
      <w:r w:rsidRPr="00CE36B9">
        <w:rPr>
          <w:sz w:val="24"/>
        </w:rPr>
        <w:t xml:space="preserve"> </w:t>
      </w:r>
      <w:r w:rsidR="006A4C11">
        <w:rPr>
          <w:sz w:val="24"/>
        </w:rPr>
        <w:t>E</w:t>
      </w:r>
      <w:r w:rsidRPr="00CE36B9">
        <w:rPr>
          <w:sz w:val="24"/>
        </w:rPr>
        <w:t xml:space="preserve">quilíbrio </w:t>
      </w:r>
      <w:r w:rsidR="002E2F22">
        <w:rPr>
          <w:sz w:val="24"/>
        </w:rPr>
        <w:t>termodinâmico</w:t>
      </w:r>
      <w:r w:rsidRPr="00CE36B9">
        <w:rPr>
          <w:sz w:val="24"/>
        </w:rPr>
        <w:t>.</w:t>
      </w:r>
    </w:p>
    <w:p w:rsidR="00F154F8" w:rsidRDefault="00A84322" w:rsidP="000448DE">
      <w:pPr>
        <w:spacing w:after="0" w:line="360" w:lineRule="auto"/>
        <w:jc w:val="center"/>
        <w:rPr>
          <w:b/>
          <w:i/>
          <w:sz w:val="24"/>
          <w:lang w:val="en-US"/>
        </w:rPr>
      </w:pPr>
      <w:r w:rsidRPr="00C173A5">
        <w:rPr>
          <w:b/>
          <w:i/>
          <w:sz w:val="24"/>
          <w:lang w:val="en-US"/>
        </w:rPr>
        <w:br w:type="page"/>
      </w:r>
      <w:r w:rsidR="00F154F8" w:rsidRPr="00CE36B9">
        <w:rPr>
          <w:b/>
          <w:i/>
          <w:sz w:val="24"/>
          <w:lang w:val="en-US"/>
        </w:rPr>
        <w:lastRenderedPageBreak/>
        <w:t xml:space="preserve">SPECIATION SOIL SOLUTION AND CHEMICAL EQUILIBRIA OF CHLOROPYROMORPHITE IN SOIL CONTAMINATED WITH </w:t>
      </w:r>
      <w:proofErr w:type="spellStart"/>
      <w:r w:rsidR="00F154F8" w:rsidRPr="00CE36B9">
        <w:rPr>
          <w:b/>
          <w:i/>
          <w:sz w:val="24"/>
          <w:lang w:val="en-US"/>
        </w:rPr>
        <w:t>Pb</w:t>
      </w:r>
      <w:proofErr w:type="spellEnd"/>
      <w:r w:rsidR="00F154F8" w:rsidRPr="00CE36B9">
        <w:rPr>
          <w:b/>
          <w:i/>
          <w:sz w:val="24"/>
          <w:lang w:val="en-US"/>
        </w:rPr>
        <w:t xml:space="preserve"> AND REMEDIED BY PHOSPHATE</w:t>
      </w:r>
    </w:p>
    <w:p w:rsidR="0037267F" w:rsidRPr="00CE36B9" w:rsidRDefault="0037267F" w:rsidP="006E0061">
      <w:pPr>
        <w:spacing w:after="0" w:line="360" w:lineRule="auto"/>
        <w:jc w:val="both"/>
        <w:rPr>
          <w:i/>
          <w:sz w:val="24"/>
          <w:lang w:val="en-US"/>
        </w:rPr>
      </w:pPr>
    </w:p>
    <w:p w:rsidR="00CE36B9" w:rsidRPr="00CE36B9" w:rsidRDefault="00CE36B9" w:rsidP="006E0061">
      <w:pPr>
        <w:spacing w:after="0" w:line="360" w:lineRule="auto"/>
        <w:jc w:val="both"/>
        <w:rPr>
          <w:i/>
          <w:sz w:val="24"/>
        </w:rPr>
      </w:pPr>
      <w:proofErr w:type="spellStart"/>
      <w:r w:rsidRPr="00CE36B9">
        <w:rPr>
          <w:i/>
          <w:sz w:val="24"/>
        </w:rPr>
        <w:t>Author</w:t>
      </w:r>
      <w:proofErr w:type="spellEnd"/>
      <w:r w:rsidRPr="00CE36B9">
        <w:rPr>
          <w:sz w:val="24"/>
        </w:rPr>
        <w:t xml:space="preserve">: Daniel Ramos </w:t>
      </w:r>
      <w:proofErr w:type="spellStart"/>
      <w:r w:rsidRPr="00CE36B9">
        <w:rPr>
          <w:sz w:val="24"/>
        </w:rPr>
        <w:t>Pontoni</w:t>
      </w:r>
      <w:proofErr w:type="spellEnd"/>
    </w:p>
    <w:p w:rsidR="00CE36B9" w:rsidRDefault="00CE36B9" w:rsidP="006E0061">
      <w:pPr>
        <w:spacing w:after="0" w:line="360" w:lineRule="auto"/>
        <w:jc w:val="both"/>
        <w:rPr>
          <w:sz w:val="24"/>
        </w:rPr>
      </w:pPr>
      <w:proofErr w:type="spellStart"/>
      <w:r w:rsidRPr="00CE36B9">
        <w:rPr>
          <w:i/>
          <w:sz w:val="24"/>
        </w:rPr>
        <w:t>Advisor</w:t>
      </w:r>
      <w:proofErr w:type="spellEnd"/>
      <w:r w:rsidRPr="00CE36B9">
        <w:rPr>
          <w:sz w:val="24"/>
        </w:rPr>
        <w:t>: Prof. Dr. Vander de Freitas Melo</w:t>
      </w:r>
    </w:p>
    <w:p w:rsidR="0037267F" w:rsidRPr="00CE36B9" w:rsidRDefault="0037267F" w:rsidP="006E0061">
      <w:pPr>
        <w:spacing w:after="0" w:line="360" w:lineRule="auto"/>
        <w:jc w:val="both"/>
        <w:rPr>
          <w:b/>
          <w:i/>
          <w:sz w:val="24"/>
        </w:rPr>
      </w:pPr>
    </w:p>
    <w:p w:rsidR="00CE36B9" w:rsidRPr="007C62DD" w:rsidRDefault="00CE36B9" w:rsidP="001D1FB8">
      <w:pPr>
        <w:pStyle w:val="Ttulo2"/>
        <w:spacing w:after="0" w:line="360" w:lineRule="auto"/>
        <w:jc w:val="center"/>
        <w:rPr>
          <w:i/>
          <w:sz w:val="24"/>
          <w:lang w:val="en-US"/>
        </w:rPr>
      </w:pPr>
      <w:bookmarkStart w:id="4" w:name="_Toc443247118"/>
      <w:r w:rsidRPr="007C62DD">
        <w:rPr>
          <w:i/>
          <w:sz w:val="24"/>
          <w:szCs w:val="24"/>
          <w:lang w:val="en-US" w:eastAsia="en-US"/>
        </w:rPr>
        <w:t>ABSTRACT</w:t>
      </w:r>
      <w:bookmarkEnd w:id="4"/>
    </w:p>
    <w:p w:rsidR="00CE36B9" w:rsidRDefault="00CE36B9" w:rsidP="006E0061">
      <w:pPr>
        <w:spacing w:after="0" w:line="360" w:lineRule="auto"/>
        <w:ind w:firstLine="708"/>
        <w:jc w:val="both"/>
        <w:rPr>
          <w:i/>
          <w:sz w:val="24"/>
          <w:lang w:val="en-US"/>
        </w:rPr>
      </w:pPr>
      <w:r w:rsidRPr="00CE36B9">
        <w:rPr>
          <w:i/>
          <w:sz w:val="24"/>
          <w:lang w:val="en-US"/>
        </w:rPr>
        <w:t xml:space="preserve">Speciation of the activity of ions in solution used in modeling of chemical </w:t>
      </w:r>
      <w:proofErr w:type="spellStart"/>
      <w:r w:rsidRPr="00CE36B9">
        <w:rPr>
          <w:i/>
          <w:sz w:val="24"/>
          <w:lang w:val="en-US"/>
        </w:rPr>
        <w:t>equilibria</w:t>
      </w:r>
      <w:proofErr w:type="spellEnd"/>
      <w:r w:rsidRPr="00CE36B9">
        <w:rPr>
          <w:i/>
          <w:sz w:val="24"/>
          <w:lang w:val="en-US"/>
        </w:rPr>
        <w:t xml:space="preserve"> is an important tool in understanding the geochemical processes of formation and stability of minerals. This study aimed to evaluate changes in soil solution and its implications in chemical equilibrium of </w:t>
      </w:r>
      <w:proofErr w:type="spellStart"/>
      <w:r w:rsidRPr="00CE36B9">
        <w:rPr>
          <w:i/>
          <w:sz w:val="24"/>
          <w:lang w:val="en-US"/>
        </w:rPr>
        <w:t>chloropyomorphite</w:t>
      </w:r>
      <w:proofErr w:type="spellEnd"/>
      <w:r w:rsidRPr="00CE36B9">
        <w:rPr>
          <w:i/>
          <w:sz w:val="24"/>
          <w:lang w:val="en-US"/>
        </w:rPr>
        <w:t xml:space="preserve"> in soils with source materials and contrasting textures, contaminated with </w:t>
      </w:r>
      <w:proofErr w:type="spellStart"/>
      <w:r w:rsidRPr="00CE36B9">
        <w:rPr>
          <w:i/>
          <w:sz w:val="24"/>
          <w:lang w:val="en-US"/>
        </w:rPr>
        <w:t>Pb</w:t>
      </w:r>
      <w:proofErr w:type="spellEnd"/>
      <w:r w:rsidRPr="00CE36B9">
        <w:rPr>
          <w:i/>
          <w:sz w:val="24"/>
          <w:lang w:val="en-US"/>
        </w:rPr>
        <w:t xml:space="preserve"> and remedied with phosphates. Two soils (natural pH and pH adjusted to 7.0) were contaminated with two doses of </w:t>
      </w:r>
      <w:proofErr w:type="spellStart"/>
      <w:r w:rsidRPr="00CE36B9">
        <w:rPr>
          <w:i/>
          <w:sz w:val="24"/>
          <w:lang w:val="en-US"/>
        </w:rPr>
        <w:t>Pb</w:t>
      </w:r>
      <w:proofErr w:type="spellEnd"/>
      <w:r w:rsidRPr="00CE36B9">
        <w:rPr>
          <w:i/>
          <w:sz w:val="24"/>
          <w:lang w:val="en-US"/>
        </w:rPr>
        <w:t xml:space="preserve"> (1 x </w:t>
      </w:r>
      <w:proofErr w:type="spellStart"/>
      <w:r w:rsidRPr="00CE36B9">
        <w:rPr>
          <w:i/>
          <w:sz w:val="24"/>
          <w:lang w:val="en-US"/>
        </w:rPr>
        <w:t>Pb</w:t>
      </w:r>
      <w:proofErr w:type="spellEnd"/>
      <w:r w:rsidRPr="00CE36B9">
        <w:rPr>
          <w:i/>
          <w:sz w:val="24"/>
          <w:lang w:val="en-US"/>
        </w:rPr>
        <w:t xml:space="preserve"> maximum adsorption capacity (</w:t>
      </w:r>
      <w:proofErr w:type="spellStart"/>
      <w:r w:rsidRPr="00CE36B9">
        <w:rPr>
          <w:i/>
          <w:sz w:val="24"/>
          <w:lang w:val="en-US"/>
        </w:rPr>
        <w:t>MACPb</w:t>
      </w:r>
      <w:proofErr w:type="spellEnd"/>
      <w:r w:rsidRPr="00CE36B9">
        <w:rPr>
          <w:i/>
          <w:sz w:val="24"/>
          <w:lang w:val="en-US"/>
        </w:rPr>
        <w:t xml:space="preserve">) and 5 x </w:t>
      </w:r>
      <w:proofErr w:type="spellStart"/>
      <w:r w:rsidRPr="00CE36B9">
        <w:rPr>
          <w:i/>
          <w:sz w:val="24"/>
          <w:lang w:val="en-US"/>
        </w:rPr>
        <w:t>MACPb</w:t>
      </w:r>
      <w:proofErr w:type="spellEnd"/>
      <w:r w:rsidRPr="00CE36B9">
        <w:rPr>
          <w:i/>
          <w:sz w:val="24"/>
          <w:lang w:val="en-US"/>
        </w:rPr>
        <w:t xml:space="preserve">) remedied with increasing doses of phosphate and evaluated at 30, 60 and 311 days of incubation with </w:t>
      </w:r>
      <w:proofErr w:type="spellStart"/>
      <w:r w:rsidRPr="00CE36B9">
        <w:rPr>
          <w:i/>
          <w:sz w:val="24"/>
          <w:lang w:val="en-US"/>
        </w:rPr>
        <w:t>Pb</w:t>
      </w:r>
      <w:proofErr w:type="spellEnd"/>
      <w:r w:rsidRPr="00CE36B9">
        <w:rPr>
          <w:i/>
          <w:sz w:val="24"/>
          <w:lang w:val="en-US"/>
        </w:rPr>
        <w:t xml:space="preserve"> and zero, 30 and 281 days of incubation with P. extractions were performed soil equilibrium solution for determination of the major species of </w:t>
      </w:r>
      <w:proofErr w:type="spellStart"/>
      <w:r w:rsidRPr="00CE36B9">
        <w:rPr>
          <w:i/>
          <w:sz w:val="24"/>
          <w:lang w:val="en-US"/>
        </w:rPr>
        <w:t>Pb</w:t>
      </w:r>
      <w:proofErr w:type="spellEnd"/>
      <w:r w:rsidRPr="00CE36B9">
        <w:rPr>
          <w:i/>
          <w:sz w:val="24"/>
          <w:lang w:val="en-US"/>
        </w:rPr>
        <w:t xml:space="preserve">, and P (ionic speciation) by Visual MINTEQ software. The formation of </w:t>
      </w:r>
      <w:proofErr w:type="spellStart"/>
      <w:r w:rsidRPr="00CE36B9">
        <w:rPr>
          <w:i/>
          <w:sz w:val="24"/>
          <w:lang w:val="en-US"/>
        </w:rPr>
        <w:t>chloropyomorphite</w:t>
      </w:r>
      <w:proofErr w:type="spellEnd"/>
      <w:r w:rsidRPr="00CE36B9">
        <w:rPr>
          <w:i/>
          <w:sz w:val="24"/>
          <w:lang w:val="en-US"/>
        </w:rPr>
        <w:t xml:space="preserve"> was assessed by equilibrium predictions in graphical and mineral stability field. Among the main species of </w:t>
      </w:r>
      <w:proofErr w:type="spellStart"/>
      <w:r w:rsidRPr="00CE36B9">
        <w:rPr>
          <w:i/>
          <w:sz w:val="24"/>
          <w:lang w:val="en-US"/>
        </w:rPr>
        <w:t>Pb</w:t>
      </w:r>
      <w:proofErr w:type="spellEnd"/>
      <w:r w:rsidRPr="00CE36B9">
        <w:rPr>
          <w:i/>
          <w:sz w:val="24"/>
          <w:lang w:val="en-US"/>
        </w:rPr>
        <w:t xml:space="preserve"> was the predominance of the free form Pb</w:t>
      </w:r>
      <w:r w:rsidRPr="00CE36B9">
        <w:rPr>
          <w:i/>
          <w:sz w:val="24"/>
          <w:vertAlign w:val="superscript"/>
          <w:lang w:val="en-US"/>
        </w:rPr>
        <w:t>2+</w:t>
      </w:r>
      <w:r w:rsidRPr="00CE36B9">
        <w:rPr>
          <w:i/>
          <w:sz w:val="24"/>
          <w:lang w:val="en-US"/>
        </w:rPr>
        <w:t>, ranging from 70 to 99 %, while P predominant H</w:t>
      </w:r>
      <w:r w:rsidRPr="00CE36B9">
        <w:rPr>
          <w:i/>
          <w:sz w:val="24"/>
          <w:vertAlign w:val="subscript"/>
          <w:lang w:val="en-US"/>
        </w:rPr>
        <w:t>2</w:t>
      </w:r>
      <w:r w:rsidRPr="00CE36B9">
        <w:rPr>
          <w:i/>
          <w:sz w:val="24"/>
          <w:lang w:val="en-US"/>
        </w:rPr>
        <w:t>PO</w:t>
      </w:r>
      <w:r w:rsidRPr="00CE36B9">
        <w:rPr>
          <w:i/>
          <w:sz w:val="24"/>
          <w:vertAlign w:val="subscript"/>
          <w:lang w:val="en-US"/>
        </w:rPr>
        <w:t>4</w:t>
      </w:r>
      <w:r w:rsidRPr="00CE36B9">
        <w:rPr>
          <w:i/>
          <w:sz w:val="24"/>
          <w:vertAlign w:val="superscript"/>
          <w:lang w:val="en-US"/>
        </w:rPr>
        <w:t>-</w:t>
      </w:r>
      <w:r w:rsidRPr="00CE36B9">
        <w:rPr>
          <w:i/>
          <w:sz w:val="24"/>
          <w:lang w:val="en-US"/>
        </w:rPr>
        <w:t xml:space="preserve"> form, ranging from 42 to 93 %. Was no effect of applied P doses and initial pH (natural and 7.0) in reducing Pb</w:t>
      </w:r>
      <w:r w:rsidRPr="00CE36B9">
        <w:rPr>
          <w:i/>
          <w:sz w:val="24"/>
          <w:vertAlign w:val="superscript"/>
          <w:lang w:val="en-US"/>
        </w:rPr>
        <w:t>2+</w:t>
      </w:r>
      <w:r w:rsidRPr="00CE36B9">
        <w:rPr>
          <w:i/>
          <w:sz w:val="24"/>
          <w:lang w:val="en-US"/>
        </w:rPr>
        <w:t xml:space="preserve"> content in the soil solution. The application of P also changed the pH of the equilibrium solution, possibly by forming reactions </w:t>
      </w:r>
      <w:proofErr w:type="spellStart"/>
      <w:r w:rsidRPr="00CE36B9">
        <w:rPr>
          <w:i/>
          <w:sz w:val="24"/>
          <w:lang w:val="en-US"/>
        </w:rPr>
        <w:t>chloropyomorphite</w:t>
      </w:r>
      <w:proofErr w:type="spellEnd"/>
      <w:r w:rsidRPr="00CE36B9">
        <w:rPr>
          <w:i/>
          <w:sz w:val="24"/>
          <w:lang w:val="en-US"/>
        </w:rPr>
        <w:t xml:space="preserve"> (release 2 moles of H</w:t>
      </w:r>
      <w:r w:rsidRPr="00CE36B9">
        <w:rPr>
          <w:i/>
          <w:sz w:val="24"/>
          <w:vertAlign w:val="superscript"/>
          <w:lang w:val="en-US"/>
        </w:rPr>
        <w:t>+</w:t>
      </w:r>
      <w:r w:rsidRPr="00CE36B9">
        <w:rPr>
          <w:i/>
          <w:sz w:val="24"/>
          <w:lang w:val="en-US"/>
        </w:rPr>
        <w:t xml:space="preserve"> for each mole of formed </w:t>
      </w:r>
      <w:proofErr w:type="spellStart"/>
      <w:r w:rsidRPr="00CE36B9">
        <w:rPr>
          <w:i/>
          <w:sz w:val="24"/>
          <w:lang w:val="en-US"/>
        </w:rPr>
        <w:t>pyomorphite</w:t>
      </w:r>
      <w:proofErr w:type="spellEnd"/>
      <w:r w:rsidRPr="00CE36B9">
        <w:rPr>
          <w:i/>
          <w:sz w:val="24"/>
          <w:lang w:val="en-US"/>
        </w:rPr>
        <w:t xml:space="preserve">), with more pronounced effect in the highest levels of contamination (5 x </w:t>
      </w:r>
      <w:proofErr w:type="spellStart"/>
      <w:r w:rsidRPr="00CE36B9">
        <w:rPr>
          <w:i/>
          <w:sz w:val="24"/>
          <w:lang w:val="en-US"/>
        </w:rPr>
        <w:t>MACPb</w:t>
      </w:r>
      <w:proofErr w:type="spellEnd"/>
      <w:r w:rsidRPr="00CE36B9">
        <w:rPr>
          <w:i/>
          <w:sz w:val="24"/>
          <w:lang w:val="en-US"/>
        </w:rPr>
        <w:t xml:space="preserve">). In this condition of greater availability of </w:t>
      </w:r>
      <w:proofErr w:type="spellStart"/>
      <w:r w:rsidRPr="00CE36B9">
        <w:rPr>
          <w:i/>
          <w:sz w:val="24"/>
          <w:lang w:val="en-US"/>
        </w:rPr>
        <w:t>Pb</w:t>
      </w:r>
      <w:proofErr w:type="spellEnd"/>
      <w:r w:rsidRPr="00CE36B9">
        <w:rPr>
          <w:i/>
          <w:sz w:val="24"/>
          <w:lang w:val="en-US"/>
        </w:rPr>
        <w:t xml:space="preserve"> was greater formation </w:t>
      </w:r>
      <w:proofErr w:type="spellStart"/>
      <w:r w:rsidRPr="00CE36B9">
        <w:rPr>
          <w:i/>
          <w:sz w:val="24"/>
          <w:lang w:val="en-US"/>
        </w:rPr>
        <w:t>chloropyomorphite</w:t>
      </w:r>
      <w:proofErr w:type="spellEnd"/>
      <w:r w:rsidRPr="00CE36B9">
        <w:rPr>
          <w:i/>
          <w:sz w:val="24"/>
          <w:lang w:val="en-US"/>
        </w:rPr>
        <w:t xml:space="preserve">. All treatments were supersaturated with respect to the response surface </w:t>
      </w:r>
      <w:proofErr w:type="spellStart"/>
      <w:r w:rsidRPr="00CE36B9">
        <w:rPr>
          <w:i/>
          <w:sz w:val="24"/>
          <w:lang w:val="en-US"/>
        </w:rPr>
        <w:t>chloropyomorphite</w:t>
      </w:r>
      <w:proofErr w:type="spellEnd"/>
      <w:r w:rsidRPr="00CE36B9">
        <w:rPr>
          <w:i/>
          <w:sz w:val="24"/>
          <w:lang w:val="en-US"/>
        </w:rPr>
        <w:t xml:space="preserve"> (favorable condition for the formation of the mineral). The formation of this mineral resulted in low </w:t>
      </w:r>
      <w:proofErr w:type="spellStart"/>
      <w:r w:rsidRPr="00CE36B9">
        <w:rPr>
          <w:i/>
          <w:sz w:val="24"/>
          <w:lang w:val="en-US"/>
        </w:rPr>
        <w:t>Pb</w:t>
      </w:r>
      <w:proofErr w:type="spellEnd"/>
      <w:r w:rsidRPr="00CE36B9">
        <w:rPr>
          <w:i/>
          <w:sz w:val="24"/>
          <w:lang w:val="en-US"/>
        </w:rPr>
        <w:t xml:space="preserve"> content in the equilibrium solution.</w:t>
      </w:r>
    </w:p>
    <w:p w:rsidR="0037267F" w:rsidRPr="00CE36B9" w:rsidRDefault="0037267F" w:rsidP="006E0061">
      <w:pPr>
        <w:spacing w:after="0" w:line="360" w:lineRule="auto"/>
        <w:ind w:firstLine="708"/>
        <w:jc w:val="both"/>
        <w:rPr>
          <w:i/>
          <w:sz w:val="24"/>
          <w:lang w:val="en-US"/>
        </w:rPr>
      </w:pPr>
    </w:p>
    <w:p w:rsidR="00CE36B9" w:rsidRPr="00CE36B9" w:rsidRDefault="00CE36B9" w:rsidP="006E0061">
      <w:pPr>
        <w:spacing w:after="0" w:line="360" w:lineRule="auto"/>
        <w:jc w:val="both"/>
        <w:rPr>
          <w:sz w:val="24"/>
          <w:lang w:val="en-US"/>
        </w:rPr>
      </w:pPr>
      <w:r w:rsidRPr="00CE36B9">
        <w:rPr>
          <w:b/>
          <w:i/>
          <w:sz w:val="24"/>
          <w:lang w:val="en-US"/>
        </w:rPr>
        <w:t>Keywords</w:t>
      </w:r>
      <w:r w:rsidRPr="00CE36B9">
        <w:rPr>
          <w:i/>
          <w:sz w:val="24"/>
          <w:lang w:val="en-US"/>
        </w:rPr>
        <w:t>:</w:t>
      </w:r>
      <w:r w:rsidR="001D1FB8">
        <w:rPr>
          <w:i/>
          <w:sz w:val="24"/>
          <w:lang w:val="en-US"/>
        </w:rPr>
        <w:t xml:space="preserve"> </w:t>
      </w:r>
      <w:r w:rsidRPr="00CE36B9">
        <w:rPr>
          <w:i/>
          <w:sz w:val="24"/>
          <w:lang w:val="en-US"/>
        </w:rPr>
        <w:t>Chemical</w:t>
      </w:r>
      <w:r w:rsidR="001D1FB8">
        <w:rPr>
          <w:i/>
          <w:sz w:val="24"/>
          <w:lang w:val="en-US"/>
        </w:rPr>
        <w:t xml:space="preserve"> </w:t>
      </w:r>
      <w:r w:rsidRPr="00CE36B9">
        <w:rPr>
          <w:i/>
          <w:sz w:val="24"/>
          <w:lang w:val="en-US"/>
        </w:rPr>
        <w:t>stabilization</w:t>
      </w:r>
      <w:r w:rsidR="006A4C11">
        <w:rPr>
          <w:i/>
          <w:sz w:val="24"/>
          <w:lang w:val="en-US"/>
        </w:rPr>
        <w:t>.</w:t>
      </w:r>
      <w:r w:rsidRPr="00CE36B9">
        <w:rPr>
          <w:i/>
          <w:sz w:val="24"/>
          <w:lang w:val="en-US"/>
        </w:rPr>
        <w:t xml:space="preserve"> </w:t>
      </w:r>
      <w:proofErr w:type="spellStart"/>
      <w:r w:rsidR="002E2F22">
        <w:rPr>
          <w:i/>
          <w:sz w:val="24"/>
          <w:lang w:val="en-US"/>
        </w:rPr>
        <w:t>Equilibria</w:t>
      </w:r>
      <w:proofErr w:type="spellEnd"/>
      <w:r w:rsidR="002E2F22">
        <w:rPr>
          <w:i/>
          <w:sz w:val="24"/>
          <w:lang w:val="en-US"/>
        </w:rPr>
        <w:t xml:space="preserve"> </w:t>
      </w:r>
      <w:r w:rsidRPr="00CE36B9">
        <w:rPr>
          <w:i/>
          <w:sz w:val="24"/>
          <w:lang w:val="en-US"/>
        </w:rPr>
        <w:t>solution</w:t>
      </w:r>
      <w:r w:rsidR="006A4C11">
        <w:rPr>
          <w:i/>
          <w:sz w:val="24"/>
          <w:lang w:val="en-US"/>
        </w:rPr>
        <w:t>.</w:t>
      </w:r>
      <w:r w:rsidRPr="00CE36B9">
        <w:rPr>
          <w:i/>
          <w:sz w:val="24"/>
          <w:lang w:val="en-US"/>
        </w:rPr>
        <w:t xml:space="preserve"> </w:t>
      </w:r>
      <w:proofErr w:type="spellStart"/>
      <w:r w:rsidRPr="00CE36B9">
        <w:rPr>
          <w:i/>
          <w:sz w:val="24"/>
          <w:lang w:val="en-US"/>
        </w:rPr>
        <w:t>Pb</w:t>
      </w:r>
      <w:proofErr w:type="spellEnd"/>
      <w:r w:rsidRPr="00CE36B9">
        <w:rPr>
          <w:i/>
          <w:sz w:val="24"/>
          <w:lang w:val="en-US"/>
        </w:rPr>
        <w:t xml:space="preserve"> speciation</w:t>
      </w:r>
      <w:r w:rsidR="006A4C11">
        <w:rPr>
          <w:i/>
          <w:sz w:val="24"/>
          <w:lang w:val="en-US"/>
        </w:rPr>
        <w:t>.</w:t>
      </w:r>
      <w:r w:rsidRPr="00CE36B9">
        <w:rPr>
          <w:i/>
          <w:sz w:val="24"/>
          <w:lang w:val="en-US"/>
        </w:rPr>
        <w:t xml:space="preserve"> </w:t>
      </w:r>
      <w:proofErr w:type="spellStart"/>
      <w:r w:rsidR="002E2F22">
        <w:rPr>
          <w:i/>
          <w:sz w:val="24"/>
          <w:lang w:val="en-US"/>
        </w:rPr>
        <w:t>Thermodynamical</w:t>
      </w:r>
      <w:proofErr w:type="spellEnd"/>
      <w:r w:rsidR="002E2F22">
        <w:rPr>
          <w:i/>
          <w:sz w:val="24"/>
          <w:lang w:val="en-US"/>
        </w:rPr>
        <w:t xml:space="preserve"> </w:t>
      </w:r>
      <w:proofErr w:type="spellStart"/>
      <w:r w:rsidRPr="00CE36B9">
        <w:rPr>
          <w:i/>
          <w:sz w:val="24"/>
          <w:lang w:val="en-US"/>
        </w:rPr>
        <w:t>equilibria</w:t>
      </w:r>
      <w:proofErr w:type="spellEnd"/>
      <w:r w:rsidRPr="00CE36B9">
        <w:rPr>
          <w:i/>
          <w:sz w:val="24"/>
          <w:lang w:val="en-US"/>
        </w:rPr>
        <w:t>.</w:t>
      </w:r>
    </w:p>
    <w:p w:rsidR="00F154F8" w:rsidRPr="001B2E21" w:rsidRDefault="001B2E21" w:rsidP="00F154F8">
      <w:pPr>
        <w:pStyle w:val="Ttulo2"/>
        <w:spacing w:after="0" w:line="360" w:lineRule="auto"/>
        <w:rPr>
          <w:sz w:val="24"/>
        </w:rPr>
      </w:pPr>
      <w:r>
        <w:rPr>
          <w:sz w:val="24"/>
        </w:rPr>
        <w:br w:type="page"/>
      </w:r>
      <w:bookmarkStart w:id="5" w:name="_Toc443247119"/>
      <w:r w:rsidR="00F154F8" w:rsidRPr="001B2E21">
        <w:rPr>
          <w:sz w:val="24"/>
        </w:rPr>
        <w:lastRenderedPageBreak/>
        <w:t>2.1</w:t>
      </w:r>
      <w:r w:rsidR="00F154F8">
        <w:rPr>
          <w:sz w:val="24"/>
        </w:rPr>
        <w:t>.</w:t>
      </w:r>
      <w:r w:rsidR="00F154F8" w:rsidRPr="001B2E21">
        <w:rPr>
          <w:sz w:val="24"/>
        </w:rPr>
        <w:t xml:space="preserve"> INTRODUÇÃO</w:t>
      </w:r>
      <w:bookmarkEnd w:id="5"/>
    </w:p>
    <w:p w:rsidR="00CE36B9" w:rsidRPr="00CE36B9" w:rsidRDefault="00CE36B9" w:rsidP="006E0061">
      <w:pPr>
        <w:spacing w:after="0" w:line="360" w:lineRule="auto"/>
        <w:ind w:firstLine="709"/>
        <w:jc w:val="both"/>
        <w:rPr>
          <w:sz w:val="24"/>
        </w:rPr>
      </w:pPr>
      <w:r w:rsidRPr="00CE36B9">
        <w:rPr>
          <w:sz w:val="24"/>
        </w:rPr>
        <w:t xml:space="preserve">A estabilização química do </w:t>
      </w:r>
      <w:proofErr w:type="spellStart"/>
      <w:r w:rsidRPr="00CE36B9">
        <w:rPr>
          <w:sz w:val="24"/>
        </w:rPr>
        <w:t>Pb</w:t>
      </w:r>
      <w:proofErr w:type="spellEnd"/>
      <w:r w:rsidRPr="00CE36B9">
        <w:rPr>
          <w:sz w:val="24"/>
        </w:rPr>
        <w:t xml:space="preserve"> através da aplicação de fosfatos vem crescendo nos últimos anos</w:t>
      </w:r>
      <w:r w:rsidR="00683DD4">
        <w:rPr>
          <w:sz w:val="24"/>
        </w:rPr>
        <w:t xml:space="preserve"> (</w:t>
      </w:r>
      <w:r w:rsidR="00683DD4" w:rsidRPr="00683DD4">
        <w:rPr>
          <w:sz w:val="24"/>
          <w:highlight w:val="yellow"/>
        </w:rPr>
        <w:t>REFERÊNCIAS??? - preferir internacionais e atuais</w:t>
      </w:r>
      <w:r w:rsidR="00683DD4">
        <w:rPr>
          <w:sz w:val="24"/>
        </w:rPr>
        <w:t>)</w:t>
      </w:r>
      <w:r w:rsidRPr="00CE36B9">
        <w:rPr>
          <w:sz w:val="24"/>
        </w:rPr>
        <w:t>, e surge como uma das melhores alternativas de remediação de solos contaminados pelo metal em termos de viabilidade econômica (</w:t>
      </w:r>
      <w:proofErr w:type="spellStart"/>
      <w:r w:rsidRPr="00CE36B9">
        <w:rPr>
          <w:sz w:val="24"/>
        </w:rPr>
        <w:t>Xie</w:t>
      </w:r>
      <w:proofErr w:type="spellEnd"/>
      <w:r w:rsidRPr="00CE36B9">
        <w:rPr>
          <w:sz w:val="24"/>
        </w:rPr>
        <w:t xml:space="preserve"> &amp; </w:t>
      </w:r>
      <w:proofErr w:type="spellStart"/>
      <w:r w:rsidRPr="00CE36B9">
        <w:rPr>
          <w:sz w:val="24"/>
        </w:rPr>
        <w:t>Giammar</w:t>
      </w:r>
      <w:proofErr w:type="spellEnd"/>
      <w:r w:rsidRPr="00CE36B9">
        <w:rPr>
          <w:sz w:val="24"/>
        </w:rPr>
        <w:t xml:space="preserve">, 2007). O conhecimento da dinâmica do </w:t>
      </w:r>
      <w:proofErr w:type="spellStart"/>
      <w:r w:rsidRPr="00CE36B9">
        <w:rPr>
          <w:sz w:val="24"/>
        </w:rPr>
        <w:t>Pb</w:t>
      </w:r>
      <w:proofErr w:type="spellEnd"/>
      <w:r w:rsidRPr="00CE36B9">
        <w:rPr>
          <w:sz w:val="24"/>
        </w:rPr>
        <w:t xml:space="preserve"> e sua interação com P na </w:t>
      </w:r>
      <w:r w:rsidR="00683DD4">
        <w:rPr>
          <w:sz w:val="24"/>
        </w:rPr>
        <w:t>fase sólida do solo</w:t>
      </w:r>
      <w:r w:rsidRPr="00CE36B9">
        <w:rPr>
          <w:sz w:val="24"/>
        </w:rPr>
        <w:t xml:space="preserve"> não é suficiente para explicar as alterações geoquímicas envolvidas. A determinação das espécies químicas na solução de equilíbrio consiste numa importante ferramenta para entendimento da dinâmica do </w:t>
      </w:r>
      <w:proofErr w:type="spellStart"/>
      <w:r w:rsidRPr="00CE36B9">
        <w:rPr>
          <w:sz w:val="24"/>
        </w:rPr>
        <w:t>Pb</w:t>
      </w:r>
      <w:proofErr w:type="spellEnd"/>
      <w:r w:rsidRPr="00CE36B9">
        <w:rPr>
          <w:sz w:val="24"/>
        </w:rPr>
        <w:t xml:space="preserve"> com os outros íons presentes na solução</w:t>
      </w:r>
      <w:r w:rsidR="00EE6179">
        <w:rPr>
          <w:sz w:val="24"/>
        </w:rPr>
        <w:t xml:space="preserve"> (</w:t>
      </w:r>
      <w:r w:rsidR="00EE6179" w:rsidRPr="00EE6179">
        <w:rPr>
          <w:sz w:val="24"/>
          <w:highlight w:val="yellow"/>
        </w:rPr>
        <w:t>Referência ???</w:t>
      </w:r>
      <w:r w:rsidR="00EE6179">
        <w:rPr>
          <w:sz w:val="24"/>
        </w:rPr>
        <w:t>)</w:t>
      </w:r>
      <w:r w:rsidRPr="00CE36B9">
        <w:rPr>
          <w:sz w:val="24"/>
        </w:rPr>
        <w:t xml:space="preserve">. Além disso, os íons da solução encontram-se em equilíbrio com a fase sólida, por isso a avaliação da solução pode ser um eficiente instrumento de predição das mudanças ocorridas na fase sólida do solo (Lindsay, 1979; </w:t>
      </w:r>
      <w:proofErr w:type="spellStart"/>
      <w:r w:rsidRPr="00CE36B9">
        <w:rPr>
          <w:sz w:val="24"/>
        </w:rPr>
        <w:t>Xu</w:t>
      </w:r>
      <w:proofErr w:type="spellEnd"/>
      <w:r w:rsidRPr="00CE36B9">
        <w:rPr>
          <w:sz w:val="24"/>
        </w:rPr>
        <w:t xml:space="preserve"> &amp; Schwartz, 1994).</w:t>
      </w:r>
    </w:p>
    <w:p w:rsidR="00CE36B9" w:rsidRPr="00CE36B9" w:rsidRDefault="00CE36B9" w:rsidP="006E0061">
      <w:pPr>
        <w:spacing w:after="0" w:line="360" w:lineRule="auto"/>
        <w:ind w:firstLine="709"/>
        <w:jc w:val="both"/>
        <w:rPr>
          <w:rFonts w:eastAsia="Times New Roman"/>
          <w:kern w:val="0"/>
          <w:sz w:val="24"/>
          <w:lang w:eastAsia="pt-BR"/>
        </w:rPr>
      </w:pPr>
      <w:r w:rsidRPr="00CE36B9">
        <w:rPr>
          <w:sz w:val="24"/>
        </w:rPr>
        <w:t xml:space="preserve">Em solução o </w:t>
      </w:r>
      <w:proofErr w:type="spellStart"/>
      <w:r w:rsidRPr="00CE36B9">
        <w:rPr>
          <w:sz w:val="24"/>
        </w:rPr>
        <w:t>Pb</w:t>
      </w:r>
      <w:proofErr w:type="spellEnd"/>
      <w:r w:rsidRPr="00CE36B9">
        <w:rPr>
          <w:sz w:val="24"/>
        </w:rPr>
        <w:t xml:space="preserve"> ocorre predominantemente na forma iônica, Pb</w:t>
      </w:r>
      <w:r w:rsidRPr="00CE36B9">
        <w:rPr>
          <w:kern w:val="24"/>
          <w:sz w:val="24"/>
          <w:vertAlign w:val="superscript"/>
        </w:rPr>
        <w:t>2+</w:t>
      </w:r>
      <w:r w:rsidRPr="00CE36B9">
        <w:rPr>
          <w:kern w:val="24"/>
          <w:sz w:val="24"/>
        </w:rPr>
        <w:t>,</w:t>
      </w:r>
      <w:r w:rsidRPr="00CE36B9">
        <w:rPr>
          <w:sz w:val="24"/>
        </w:rPr>
        <w:t xml:space="preserve"> até pH 7,0. Em função das características eletroquímicas do solo pode formar diversos complexos solúveis, tais como </w:t>
      </w:r>
      <w:proofErr w:type="spellStart"/>
      <w:r w:rsidRPr="00CE36B9">
        <w:rPr>
          <w:sz w:val="24"/>
        </w:rPr>
        <w:t>PbOH</w:t>
      </w:r>
      <w:proofErr w:type="spellEnd"/>
      <w:r w:rsidRPr="00CE36B9">
        <w:rPr>
          <w:kern w:val="24"/>
          <w:sz w:val="24"/>
          <w:vertAlign w:val="superscript"/>
        </w:rPr>
        <w:t>+</w:t>
      </w:r>
      <w:r w:rsidRPr="00CE36B9">
        <w:rPr>
          <w:sz w:val="24"/>
        </w:rPr>
        <w:t xml:space="preserve"> e PbNO</w:t>
      </w:r>
      <w:r w:rsidRPr="00CE36B9">
        <w:rPr>
          <w:kern w:val="24"/>
          <w:sz w:val="24"/>
          <w:vertAlign w:val="subscript"/>
        </w:rPr>
        <w:t>3</w:t>
      </w:r>
      <w:r w:rsidRPr="00CE36B9">
        <w:rPr>
          <w:kern w:val="24"/>
          <w:sz w:val="24"/>
          <w:vertAlign w:val="superscript"/>
        </w:rPr>
        <w:t>+</w:t>
      </w:r>
      <w:r w:rsidRPr="00CE36B9">
        <w:rPr>
          <w:sz w:val="24"/>
        </w:rPr>
        <w:t xml:space="preserve"> (Hashimoto </w:t>
      </w:r>
      <w:proofErr w:type="spellStart"/>
      <w:r w:rsidRPr="00CE36B9">
        <w:rPr>
          <w:i/>
          <w:sz w:val="24"/>
        </w:rPr>
        <w:t>et</w:t>
      </w:r>
      <w:proofErr w:type="spellEnd"/>
      <w:r w:rsidRPr="00CE36B9">
        <w:rPr>
          <w:i/>
          <w:sz w:val="24"/>
        </w:rPr>
        <w:t xml:space="preserve"> al</w:t>
      </w:r>
      <w:r w:rsidRPr="00CE36B9">
        <w:rPr>
          <w:sz w:val="24"/>
        </w:rPr>
        <w:t>., 2009a), sendo o PbH</w:t>
      </w:r>
      <w:r w:rsidRPr="00CE36B9">
        <w:rPr>
          <w:kern w:val="24"/>
          <w:sz w:val="24"/>
          <w:vertAlign w:val="subscript"/>
        </w:rPr>
        <w:t>2</w:t>
      </w:r>
      <w:r w:rsidRPr="00CE36B9">
        <w:rPr>
          <w:sz w:val="24"/>
        </w:rPr>
        <w:t>PO</w:t>
      </w:r>
      <w:r w:rsidRPr="00CE36B9">
        <w:rPr>
          <w:kern w:val="24"/>
          <w:sz w:val="24"/>
          <w:vertAlign w:val="subscript"/>
        </w:rPr>
        <w:t>4</w:t>
      </w:r>
      <w:r w:rsidRPr="00CE36B9">
        <w:rPr>
          <w:kern w:val="24"/>
          <w:sz w:val="24"/>
          <w:vertAlign w:val="superscript"/>
        </w:rPr>
        <w:t>+</w:t>
      </w:r>
      <w:r w:rsidRPr="00CE36B9">
        <w:rPr>
          <w:sz w:val="24"/>
        </w:rPr>
        <w:t xml:space="preserve"> e o PbOHPO</w:t>
      </w:r>
      <w:r w:rsidRPr="00CE36B9">
        <w:rPr>
          <w:kern w:val="24"/>
          <w:sz w:val="24"/>
          <w:vertAlign w:val="subscript"/>
        </w:rPr>
        <w:t>4</w:t>
      </w:r>
      <w:r w:rsidRPr="00CE36B9">
        <w:rPr>
          <w:sz w:val="24"/>
        </w:rPr>
        <w:t>° as principais espécies solúveis ligadas a P encontradas em sistemas naturais (</w:t>
      </w:r>
      <w:proofErr w:type="spellStart"/>
      <w:r w:rsidRPr="00CE36B9">
        <w:rPr>
          <w:sz w:val="24"/>
        </w:rPr>
        <w:t>Nriagu</w:t>
      </w:r>
      <w:proofErr w:type="spellEnd"/>
      <w:r w:rsidRPr="00CE36B9">
        <w:rPr>
          <w:sz w:val="24"/>
        </w:rPr>
        <w:t xml:space="preserve">, 1973). Na presença de fosfatos, o </w:t>
      </w:r>
      <w:proofErr w:type="spellStart"/>
      <w:r w:rsidRPr="00CE36B9">
        <w:rPr>
          <w:sz w:val="24"/>
        </w:rPr>
        <w:t>Pb</w:t>
      </w:r>
      <w:proofErr w:type="spellEnd"/>
      <w:r w:rsidRPr="00CE36B9">
        <w:rPr>
          <w:sz w:val="24"/>
        </w:rPr>
        <w:t xml:space="preserve"> tende a formar precipitados </w:t>
      </w:r>
      <w:r w:rsidR="00683DD4">
        <w:rPr>
          <w:sz w:val="24"/>
        </w:rPr>
        <w:t xml:space="preserve">insolúveis </w:t>
      </w:r>
      <w:r w:rsidRPr="00CE36B9">
        <w:rPr>
          <w:sz w:val="24"/>
        </w:rPr>
        <w:t>estáveis como Pb</w:t>
      </w:r>
      <w:r w:rsidRPr="00CE36B9">
        <w:rPr>
          <w:kern w:val="24"/>
          <w:sz w:val="24"/>
          <w:vertAlign w:val="subscript"/>
        </w:rPr>
        <w:t>3</w:t>
      </w:r>
      <w:r w:rsidRPr="00CE36B9">
        <w:rPr>
          <w:sz w:val="24"/>
        </w:rPr>
        <w:t>(PO</w:t>
      </w:r>
      <w:r w:rsidRPr="00CE36B9">
        <w:rPr>
          <w:kern w:val="24"/>
          <w:sz w:val="24"/>
          <w:vertAlign w:val="subscript"/>
        </w:rPr>
        <w:t>4</w:t>
      </w:r>
      <w:r w:rsidRPr="00CE36B9">
        <w:rPr>
          <w:sz w:val="24"/>
        </w:rPr>
        <w:t>)</w:t>
      </w:r>
      <w:r w:rsidRPr="00CE36B9">
        <w:rPr>
          <w:kern w:val="24"/>
          <w:sz w:val="24"/>
          <w:vertAlign w:val="subscript"/>
        </w:rPr>
        <w:t>2</w:t>
      </w:r>
      <w:r w:rsidRPr="00CE36B9">
        <w:rPr>
          <w:sz w:val="24"/>
        </w:rPr>
        <w:t>, Pb</w:t>
      </w:r>
      <w:r w:rsidRPr="00CE36B9">
        <w:rPr>
          <w:kern w:val="24"/>
          <w:sz w:val="24"/>
          <w:vertAlign w:val="subscript"/>
        </w:rPr>
        <w:t>5</w:t>
      </w:r>
      <w:r w:rsidRPr="00CE36B9">
        <w:rPr>
          <w:sz w:val="24"/>
        </w:rPr>
        <w:t>(PO</w:t>
      </w:r>
      <w:r w:rsidRPr="00CE36B9">
        <w:rPr>
          <w:kern w:val="24"/>
          <w:sz w:val="24"/>
          <w:vertAlign w:val="subscript"/>
        </w:rPr>
        <w:t>4</w:t>
      </w:r>
      <w:r w:rsidRPr="00CE36B9">
        <w:rPr>
          <w:sz w:val="24"/>
        </w:rPr>
        <w:t>)</w:t>
      </w:r>
      <w:r w:rsidRPr="00CE36B9">
        <w:rPr>
          <w:kern w:val="24"/>
          <w:sz w:val="24"/>
          <w:vertAlign w:val="subscript"/>
        </w:rPr>
        <w:t>3</w:t>
      </w:r>
      <w:r w:rsidRPr="00CE36B9">
        <w:rPr>
          <w:sz w:val="24"/>
        </w:rPr>
        <w:t>OH (</w:t>
      </w:r>
      <w:proofErr w:type="spellStart"/>
      <w:r w:rsidRPr="00CE36B9">
        <w:rPr>
          <w:sz w:val="24"/>
        </w:rPr>
        <w:t>hidroxipiromorfita</w:t>
      </w:r>
      <w:proofErr w:type="spellEnd"/>
      <w:r w:rsidRPr="00CE36B9">
        <w:rPr>
          <w:sz w:val="24"/>
        </w:rPr>
        <w:t>) e Pb</w:t>
      </w:r>
      <w:r w:rsidRPr="00CE36B9">
        <w:rPr>
          <w:kern w:val="24"/>
          <w:sz w:val="24"/>
          <w:vertAlign w:val="subscript"/>
        </w:rPr>
        <w:t>5</w:t>
      </w:r>
      <w:r w:rsidRPr="00CE36B9">
        <w:rPr>
          <w:sz w:val="24"/>
        </w:rPr>
        <w:t>(PO</w:t>
      </w:r>
      <w:r w:rsidRPr="00CE36B9">
        <w:rPr>
          <w:kern w:val="24"/>
          <w:sz w:val="24"/>
          <w:vertAlign w:val="subscript"/>
        </w:rPr>
        <w:t>4</w:t>
      </w:r>
      <w:r w:rsidRPr="00CE36B9">
        <w:rPr>
          <w:sz w:val="24"/>
        </w:rPr>
        <w:t>)</w:t>
      </w:r>
      <w:r w:rsidRPr="00CE36B9">
        <w:rPr>
          <w:kern w:val="24"/>
          <w:sz w:val="24"/>
          <w:vertAlign w:val="subscript"/>
        </w:rPr>
        <w:t>3</w:t>
      </w:r>
      <w:r w:rsidRPr="00CE36B9">
        <w:rPr>
          <w:sz w:val="24"/>
        </w:rPr>
        <w:t>Cl (</w:t>
      </w:r>
      <w:proofErr w:type="spellStart"/>
      <w:r w:rsidRPr="00CE36B9">
        <w:rPr>
          <w:sz w:val="24"/>
        </w:rPr>
        <w:t>cloropiromorfita</w:t>
      </w:r>
      <w:proofErr w:type="spellEnd"/>
      <w:r w:rsidRPr="00CE36B9">
        <w:rPr>
          <w:sz w:val="24"/>
        </w:rPr>
        <w:t>), sendo este último, o mais estável no ambiente do solo (Lindsay, 1979).</w:t>
      </w:r>
      <w:r w:rsidR="00683DD4">
        <w:rPr>
          <w:sz w:val="24"/>
        </w:rPr>
        <w:t xml:space="preserve"> </w:t>
      </w:r>
      <w:r w:rsidRPr="00CE36B9">
        <w:rPr>
          <w:sz w:val="24"/>
        </w:rPr>
        <w:t xml:space="preserve">As reações de formação da </w:t>
      </w:r>
      <w:proofErr w:type="spellStart"/>
      <w:r w:rsidRPr="00CE36B9">
        <w:rPr>
          <w:sz w:val="24"/>
        </w:rPr>
        <w:t>cloropiromorfita</w:t>
      </w:r>
      <w:proofErr w:type="spellEnd"/>
      <w:r w:rsidRPr="00CE36B9">
        <w:rPr>
          <w:sz w:val="24"/>
        </w:rPr>
        <w:t xml:space="preserve"> no solo dependem da matriz coloidal</w:t>
      </w:r>
      <w:r w:rsidR="00683DD4">
        <w:rPr>
          <w:sz w:val="24"/>
        </w:rPr>
        <w:t>,</w:t>
      </w:r>
      <w:r w:rsidRPr="00CE36B9">
        <w:rPr>
          <w:sz w:val="24"/>
        </w:rPr>
        <w:t xml:space="preserve"> do pH do meio (Hashimoto </w:t>
      </w:r>
      <w:proofErr w:type="spellStart"/>
      <w:r w:rsidRPr="00CE36B9">
        <w:rPr>
          <w:i/>
          <w:sz w:val="24"/>
        </w:rPr>
        <w:t>et</w:t>
      </w:r>
      <w:proofErr w:type="spellEnd"/>
      <w:r w:rsidRPr="00CE36B9">
        <w:rPr>
          <w:i/>
          <w:sz w:val="24"/>
        </w:rPr>
        <w:t xml:space="preserve"> al</w:t>
      </w:r>
      <w:r w:rsidRPr="00CE36B9">
        <w:rPr>
          <w:sz w:val="24"/>
        </w:rPr>
        <w:t>., 2009a)</w:t>
      </w:r>
      <w:r w:rsidR="00683DD4">
        <w:rPr>
          <w:sz w:val="24"/>
        </w:rPr>
        <w:t xml:space="preserve"> e</w:t>
      </w:r>
      <w:r w:rsidRPr="00CE36B9">
        <w:rPr>
          <w:sz w:val="24"/>
        </w:rPr>
        <w:t xml:space="preserve"> da presença de fontes fosfatadas e do íon cloreto (</w:t>
      </w:r>
      <w:proofErr w:type="spellStart"/>
      <w:r w:rsidRPr="00CE36B9">
        <w:rPr>
          <w:sz w:val="24"/>
        </w:rPr>
        <w:t>Cao</w:t>
      </w:r>
      <w:proofErr w:type="spellEnd"/>
      <w:r w:rsidRPr="00CE36B9">
        <w:rPr>
          <w:sz w:val="24"/>
        </w:rPr>
        <w:t xml:space="preserve"> </w:t>
      </w:r>
      <w:proofErr w:type="spellStart"/>
      <w:r w:rsidRPr="00CE36B9">
        <w:rPr>
          <w:i/>
          <w:sz w:val="24"/>
        </w:rPr>
        <w:t>et</w:t>
      </w:r>
      <w:proofErr w:type="spellEnd"/>
      <w:r w:rsidRPr="00CE36B9">
        <w:rPr>
          <w:i/>
          <w:sz w:val="24"/>
        </w:rPr>
        <w:t xml:space="preserve"> al</w:t>
      </w:r>
      <w:r w:rsidRPr="00CE36B9">
        <w:rPr>
          <w:sz w:val="24"/>
        </w:rPr>
        <w:t xml:space="preserve">., 2009). </w:t>
      </w:r>
    </w:p>
    <w:p w:rsidR="00CE36B9" w:rsidRPr="00CE36B9" w:rsidRDefault="00CE36B9" w:rsidP="006E0061">
      <w:pPr>
        <w:spacing w:after="0" w:line="360" w:lineRule="auto"/>
        <w:ind w:firstLine="709"/>
        <w:jc w:val="both"/>
        <w:rPr>
          <w:sz w:val="24"/>
        </w:rPr>
      </w:pPr>
      <w:r w:rsidRPr="00CE36B9">
        <w:rPr>
          <w:rFonts w:eastAsia="Times New Roman"/>
          <w:kern w:val="0"/>
          <w:sz w:val="24"/>
          <w:lang w:eastAsia="pt-BR"/>
        </w:rPr>
        <w:t xml:space="preserve">A </w:t>
      </w:r>
      <w:proofErr w:type="spellStart"/>
      <w:r w:rsidRPr="00CE36B9">
        <w:rPr>
          <w:rFonts w:eastAsia="Times New Roman"/>
          <w:kern w:val="0"/>
          <w:sz w:val="24"/>
          <w:lang w:eastAsia="pt-BR"/>
        </w:rPr>
        <w:t>cloropiromorfita</w:t>
      </w:r>
      <w:proofErr w:type="spellEnd"/>
      <w:r w:rsidRPr="00CE36B9">
        <w:rPr>
          <w:rFonts w:eastAsia="Times New Roman"/>
          <w:kern w:val="0"/>
          <w:sz w:val="24"/>
          <w:lang w:eastAsia="pt-BR"/>
        </w:rPr>
        <w:t xml:space="preserve"> apresenta cinética de formação extremamente rápida após a interação entre o </w:t>
      </w:r>
      <w:proofErr w:type="spellStart"/>
      <w:r w:rsidRPr="00CE36B9">
        <w:rPr>
          <w:rFonts w:eastAsia="Times New Roman"/>
          <w:kern w:val="0"/>
          <w:sz w:val="24"/>
          <w:lang w:eastAsia="pt-BR"/>
        </w:rPr>
        <w:t>Pb</w:t>
      </w:r>
      <w:proofErr w:type="spellEnd"/>
      <w:r w:rsidRPr="00CE36B9">
        <w:rPr>
          <w:rFonts w:eastAsia="Times New Roman"/>
          <w:kern w:val="0"/>
          <w:sz w:val="24"/>
          <w:lang w:eastAsia="pt-BR"/>
        </w:rPr>
        <w:t xml:space="preserve"> e P da solução ou </w:t>
      </w:r>
      <w:proofErr w:type="spellStart"/>
      <w:r w:rsidR="00693400">
        <w:rPr>
          <w:rFonts w:eastAsia="Times New Roman"/>
          <w:kern w:val="0"/>
          <w:sz w:val="24"/>
          <w:lang w:eastAsia="pt-BR"/>
        </w:rPr>
        <w:t>Pb</w:t>
      </w:r>
      <w:proofErr w:type="spellEnd"/>
      <w:r w:rsidR="00693400">
        <w:rPr>
          <w:rFonts w:eastAsia="Times New Roman"/>
          <w:kern w:val="0"/>
          <w:sz w:val="24"/>
          <w:lang w:eastAsia="pt-BR"/>
        </w:rPr>
        <w:t xml:space="preserve"> e P </w:t>
      </w:r>
      <w:r w:rsidRPr="00CE36B9">
        <w:rPr>
          <w:rFonts w:eastAsia="Times New Roman"/>
          <w:kern w:val="0"/>
          <w:sz w:val="24"/>
          <w:lang w:eastAsia="pt-BR"/>
        </w:rPr>
        <w:t xml:space="preserve">liberados de superfícies reativas do solo </w:t>
      </w:r>
      <w:r w:rsidRPr="00CE36B9">
        <w:rPr>
          <w:sz w:val="24"/>
        </w:rPr>
        <w:t>(</w:t>
      </w:r>
      <w:proofErr w:type="spellStart"/>
      <w:r w:rsidRPr="00CE36B9">
        <w:rPr>
          <w:sz w:val="24"/>
        </w:rPr>
        <w:t>Xie</w:t>
      </w:r>
      <w:proofErr w:type="spellEnd"/>
      <w:r w:rsidRPr="00CE36B9">
        <w:rPr>
          <w:sz w:val="24"/>
        </w:rPr>
        <w:t xml:space="preserve"> &amp; </w:t>
      </w:r>
      <w:proofErr w:type="spellStart"/>
      <w:r w:rsidRPr="00CE36B9">
        <w:rPr>
          <w:sz w:val="24"/>
        </w:rPr>
        <w:t>Giammar</w:t>
      </w:r>
      <w:proofErr w:type="spellEnd"/>
      <w:r w:rsidRPr="00CE36B9">
        <w:rPr>
          <w:sz w:val="24"/>
        </w:rPr>
        <w:t xml:space="preserve">, 2007). A adição de minerais fosfatados, como a </w:t>
      </w:r>
      <w:proofErr w:type="spellStart"/>
      <w:r w:rsidRPr="00CE36B9">
        <w:rPr>
          <w:sz w:val="24"/>
        </w:rPr>
        <w:t>hidroxiapatita</w:t>
      </w:r>
      <w:proofErr w:type="spellEnd"/>
      <w:r w:rsidRPr="00CE36B9">
        <w:rPr>
          <w:sz w:val="24"/>
        </w:rPr>
        <w:t>, na presença de Pb</w:t>
      </w:r>
      <w:r w:rsidRPr="00CE36B9">
        <w:rPr>
          <w:sz w:val="24"/>
          <w:vertAlign w:val="superscript"/>
        </w:rPr>
        <w:t>2+</w:t>
      </w:r>
      <w:r w:rsidRPr="00CE36B9">
        <w:rPr>
          <w:kern w:val="24"/>
          <w:sz w:val="24"/>
        </w:rPr>
        <w:t xml:space="preserve"> em solução</w:t>
      </w:r>
      <w:r w:rsidRPr="00CE36B9">
        <w:rPr>
          <w:sz w:val="24"/>
        </w:rPr>
        <w:t>, promove a dissolução deste mineral, para o fornecimento de PO</w:t>
      </w:r>
      <w:r w:rsidRPr="00CE36B9">
        <w:rPr>
          <w:sz w:val="24"/>
          <w:vertAlign w:val="subscript"/>
        </w:rPr>
        <w:t>4</w:t>
      </w:r>
      <w:r w:rsidRPr="00CE36B9">
        <w:rPr>
          <w:sz w:val="24"/>
          <w:vertAlign w:val="superscript"/>
        </w:rPr>
        <w:t>3-</w:t>
      </w:r>
      <w:r w:rsidRPr="00CE36B9">
        <w:rPr>
          <w:sz w:val="24"/>
        </w:rPr>
        <w:t xml:space="preserve"> para a neoformação de </w:t>
      </w:r>
      <w:proofErr w:type="spellStart"/>
      <w:r w:rsidRPr="00CE36B9">
        <w:rPr>
          <w:sz w:val="24"/>
        </w:rPr>
        <w:t>cloropiromorfita</w:t>
      </w:r>
      <w:proofErr w:type="spellEnd"/>
      <w:r w:rsidRPr="00CE36B9">
        <w:rPr>
          <w:sz w:val="24"/>
        </w:rPr>
        <w:t xml:space="preserve"> (Hashimoto </w:t>
      </w:r>
      <w:proofErr w:type="spellStart"/>
      <w:r w:rsidRPr="00CE36B9">
        <w:rPr>
          <w:i/>
          <w:sz w:val="24"/>
        </w:rPr>
        <w:t>et</w:t>
      </w:r>
      <w:proofErr w:type="spellEnd"/>
      <w:r w:rsidRPr="00CE36B9">
        <w:rPr>
          <w:i/>
          <w:sz w:val="24"/>
        </w:rPr>
        <w:t xml:space="preserve"> al</w:t>
      </w:r>
      <w:r w:rsidRPr="00CE36B9">
        <w:rPr>
          <w:sz w:val="24"/>
        </w:rPr>
        <w:t>., 2009a).</w:t>
      </w:r>
      <w:r w:rsidR="00EE0C1D" w:rsidRPr="00EE0C1D">
        <w:rPr>
          <w:sz w:val="24"/>
        </w:rPr>
        <w:t xml:space="preserve"> No processo de interação do P quando aplicado em solos contaminados com </w:t>
      </w:r>
      <w:proofErr w:type="spellStart"/>
      <w:r w:rsidR="00EE0C1D" w:rsidRPr="00EE0C1D">
        <w:rPr>
          <w:sz w:val="24"/>
        </w:rPr>
        <w:t>Pb</w:t>
      </w:r>
      <w:proofErr w:type="spellEnd"/>
      <w:r w:rsidR="00EE0C1D" w:rsidRPr="00EE0C1D">
        <w:rPr>
          <w:sz w:val="24"/>
        </w:rPr>
        <w:t xml:space="preserve"> ocorre o processo de </w:t>
      </w:r>
      <w:proofErr w:type="spellStart"/>
      <w:r w:rsidR="00EE0C1D" w:rsidRPr="00EE0C1D">
        <w:rPr>
          <w:sz w:val="24"/>
        </w:rPr>
        <w:t>dessorção</w:t>
      </w:r>
      <w:proofErr w:type="spellEnd"/>
      <w:r w:rsidR="00EE0C1D" w:rsidRPr="00EE0C1D">
        <w:rPr>
          <w:sz w:val="24"/>
        </w:rPr>
        <w:t xml:space="preserve"> do </w:t>
      </w:r>
      <w:proofErr w:type="spellStart"/>
      <w:r w:rsidR="00EE0C1D" w:rsidRPr="00EE0C1D">
        <w:rPr>
          <w:sz w:val="24"/>
        </w:rPr>
        <w:t>Pb</w:t>
      </w:r>
      <w:proofErr w:type="spellEnd"/>
      <w:r w:rsidR="00EE0C1D" w:rsidRPr="00EE0C1D">
        <w:rPr>
          <w:sz w:val="24"/>
        </w:rPr>
        <w:t xml:space="preserve"> dos constituintes orgânicos e inorgânicos fracamente retidos (</w:t>
      </w:r>
      <w:proofErr w:type="spellStart"/>
      <w:r w:rsidR="00EE0C1D" w:rsidRPr="00EE0C1D">
        <w:rPr>
          <w:sz w:val="24"/>
        </w:rPr>
        <w:t>Hettiarachchi</w:t>
      </w:r>
      <w:proofErr w:type="spellEnd"/>
      <w:r w:rsidR="00EE0C1D" w:rsidRPr="00EE0C1D">
        <w:rPr>
          <w:sz w:val="24"/>
        </w:rPr>
        <w:t xml:space="preserve"> </w:t>
      </w:r>
      <w:proofErr w:type="spellStart"/>
      <w:r w:rsidR="00EE0C1D" w:rsidRPr="00EE0C1D">
        <w:rPr>
          <w:i/>
          <w:sz w:val="24"/>
        </w:rPr>
        <w:t>et</w:t>
      </w:r>
      <w:proofErr w:type="spellEnd"/>
      <w:r w:rsidR="00EE0C1D" w:rsidRPr="00EE0C1D">
        <w:rPr>
          <w:i/>
          <w:sz w:val="24"/>
        </w:rPr>
        <w:t xml:space="preserve"> al</w:t>
      </w:r>
      <w:r w:rsidR="00EE0C1D" w:rsidRPr="00EE0C1D">
        <w:rPr>
          <w:sz w:val="24"/>
        </w:rPr>
        <w:t xml:space="preserve">., 2000) e a dissolução de complexos e minerais de </w:t>
      </w:r>
      <w:proofErr w:type="spellStart"/>
      <w:r w:rsidR="00EE0C1D" w:rsidRPr="00EE0C1D">
        <w:rPr>
          <w:sz w:val="24"/>
        </w:rPr>
        <w:t>Pb</w:t>
      </w:r>
      <w:proofErr w:type="spellEnd"/>
      <w:r w:rsidR="00EE0C1D" w:rsidRPr="00EE0C1D">
        <w:rPr>
          <w:sz w:val="24"/>
        </w:rPr>
        <w:t xml:space="preserve"> menos estáveis que a </w:t>
      </w:r>
      <w:proofErr w:type="spellStart"/>
      <w:r w:rsidR="00EE0C1D" w:rsidRPr="00EE0C1D">
        <w:rPr>
          <w:sz w:val="24"/>
        </w:rPr>
        <w:t>cloropiromorfita</w:t>
      </w:r>
      <w:proofErr w:type="spellEnd"/>
      <w:r w:rsidR="00EE0C1D" w:rsidRPr="00EE0C1D">
        <w:rPr>
          <w:sz w:val="24"/>
        </w:rPr>
        <w:t xml:space="preserve">, como </w:t>
      </w:r>
      <w:proofErr w:type="spellStart"/>
      <w:r w:rsidR="00EE0C1D" w:rsidRPr="00EE0C1D">
        <w:rPr>
          <w:sz w:val="24"/>
        </w:rPr>
        <w:t>cerussita</w:t>
      </w:r>
      <w:proofErr w:type="spellEnd"/>
      <w:r w:rsidR="00EE0C1D" w:rsidRPr="00EE0C1D">
        <w:rPr>
          <w:sz w:val="24"/>
        </w:rPr>
        <w:t xml:space="preserve"> (PbCO</w:t>
      </w:r>
      <w:r w:rsidR="00EE0C1D" w:rsidRPr="00EE0C1D">
        <w:rPr>
          <w:kern w:val="24"/>
          <w:sz w:val="24"/>
          <w:vertAlign w:val="subscript"/>
        </w:rPr>
        <w:t>3</w:t>
      </w:r>
      <w:r w:rsidR="00EE0C1D" w:rsidRPr="00EE0C1D">
        <w:rPr>
          <w:sz w:val="24"/>
        </w:rPr>
        <w:t>) (</w:t>
      </w:r>
      <w:proofErr w:type="spellStart"/>
      <w:r w:rsidR="00EE0C1D" w:rsidRPr="00EE0C1D">
        <w:rPr>
          <w:sz w:val="24"/>
        </w:rPr>
        <w:t>Melamed</w:t>
      </w:r>
      <w:proofErr w:type="spellEnd"/>
      <w:r w:rsidR="00EE0C1D" w:rsidRPr="00EE0C1D">
        <w:rPr>
          <w:sz w:val="24"/>
        </w:rPr>
        <w:t xml:space="preserve"> </w:t>
      </w:r>
      <w:proofErr w:type="spellStart"/>
      <w:r w:rsidR="00EE0C1D" w:rsidRPr="00EE0C1D">
        <w:rPr>
          <w:i/>
          <w:sz w:val="24"/>
        </w:rPr>
        <w:t>et</w:t>
      </w:r>
      <w:proofErr w:type="spellEnd"/>
      <w:r w:rsidR="00EE0C1D" w:rsidRPr="00EE0C1D">
        <w:rPr>
          <w:i/>
          <w:sz w:val="24"/>
        </w:rPr>
        <w:t xml:space="preserve"> al</w:t>
      </w:r>
      <w:r w:rsidR="00EE0C1D" w:rsidRPr="00EE0C1D">
        <w:rPr>
          <w:sz w:val="24"/>
        </w:rPr>
        <w:t xml:space="preserve">., 2003) e </w:t>
      </w:r>
      <w:proofErr w:type="spellStart"/>
      <w:r w:rsidR="00EE0C1D" w:rsidRPr="00EE0C1D">
        <w:rPr>
          <w:sz w:val="24"/>
        </w:rPr>
        <w:t>anglesita</w:t>
      </w:r>
      <w:proofErr w:type="spellEnd"/>
      <w:r w:rsidR="00EE0C1D" w:rsidRPr="00EE0C1D">
        <w:rPr>
          <w:sz w:val="24"/>
        </w:rPr>
        <w:t xml:space="preserve"> (PbSO</w:t>
      </w:r>
      <w:r w:rsidR="00EE0C1D" w:rsidRPr="00EE0C1D">
        <w:rPr>
          <w:kern w:val="24"/>
          <w:sz w:val="24"/>
          <w:vertAlign w:val="subscript"/>
        </w:rPr>
        <w:t>4</w:t>
      </w:r>
      <w:r w:rsidR="00EE0C1D" w:rsidRPr="00EE0C1D">
        <w:rPr>
          <w:sz w:val="24"/>
        </w:rPr>
        <w:t>) (</w:t>
      </w:r>
      <w:proofErr w:type="spellStart"/>
      <w:r w:rsidR="00EE0C1D" w:rsidRPr="00EE0C1D">
        <w:rPr>
          <w:sz w:val="24"/>
        </w:rPr>
        <w:t>Zhang</w:t>
      </w:r>
      <w:proofErr w:type="spellEnd"/>
      <w:r w:rsidR="00EE0C1D" w:rsidRPr="00EE0C1D">
        <w:rPr>
          <w:sz w:val="24"/>
        </w:rPr>
        <w:t xml:space="preserve"> &amp; Ryan, 1998).</w:t>
      </w:r>
    </w:p>
    <w:p w:rsidR="00CE36B9" w:rsidRPr="00CE36B9" w:rsidRDefault="00CE36B9" w:rsidP="006E0061">
      <w:pPr>
        <w:spacing w:after="0" w:line="360" w:lineRule="auto"/>
        <w:ind w:firstLine="709"/>
        <w:jc w:val="both"/>
        <w:rPr>
          <w:sz w:val="24"/>
        </w:rPr>
      </w:pPr>
      <w:proofErr w:type="spellStart"/>
      <w:r w:rsidRPr="00CE36B9">
        <w:rPr>
          <w:sz w:val="24"/>
        </w:rPr>
        <w:t>Hettiarachchi</w:t>
      </w:r>
      <w:proofErr w:type="spellEnd"/>
      <w:r w:rsidRPr="00CE36B9">
        <w:rPr>
          <w:sz w:val="24"/>
        </w:rPr>
        <w:t xml:space="preserve"> </w:t>
      </w:r>
      <w:proofErr w:type="spellStart"/>
      <w:r w:rsidRPr="00CE36B9">
        <w:rPr>
          <w:i/>
          <w:sz w:val="24"/>
        </w:rPr>
        <w:t>et</w:t>
      </w:r>
      <w:proofErr w:type="spellEnd"/>
      <w:r w:rsidRPr="00CE36B9">
        <w:rPr>
          <w:i/>
          <w:sz w:val="24"/>
        </w:rPr>
        <w:t xml:space="preserve"> al</w:t>
      </w:r>
      <w:r w:rsidRPr="00CE36B9">
        <w:rPr>
          <w:sz w:val="24"/>
        </w:rPr>
        <w:t xml:space="preserve">. (2000) verificaram em solos de área industrial contaminado com </w:t>
      </w:r>
      <w:proofErr w:type="spellStart"/>
      <w:r w:rsidRPr="00CE36B9">
        <w:rPr>
          <w:sz w:val="24"/>
        </w:rPr>
        <w:t>Pb</w:t>
      </w:r>
      <w:proofErr w:type="spellEnd"/>
      <w:r w:rsidRPr="00CE36B9">
        <w:rPr>
          <w:sz w:val="24"/>
        </w:rPr>
        <w:t xml:space="preserve"> que adição do óxido de Mn </w:t>
      </w:r>
      <w:proofErr w:type="spellStart"/>
      <w:r w:rsidRPr="00CE36B9">
        <w:rPr>
          <w:sz w:val="24"/>
        </w:rPr>
        <w:t>criptomelana</w:t>
      </w:r>
      <w:proofErr w:type="spellEnd"/>
      <w:r w:rsidRPr="00CE36B9">
        <w:rPr>
          <w:sz w:val="24"/>
        </w:rPr>
        <w:t xml:space="preserve"> (K(Mn</w:t>
      </w:r>
      <w:r w:rsidRPr="00CE36B9">
        <w:rPr>
          <w:kern w:val="24"/>
          <w:sz w:val="24"/>
          <w:vertAlign w:val="superscript"/>
        </w:rPr>
        <w:t>4+</w:t>
      </w:r>
      <w:r w:rsidRPr="00CE36B9">
        <w:rPr>
          <w:sz w:val="24"/>
        </w:rPr>
        <w:t>,Mn</w:t>
      </w:r>
      <w:r w:rsidRPr="00CE36B9">
        <w:rPr>
          <w:kern w:val="24"/>
          <w:sz w:val="24"/>
          <w:vertAlign w:val="superscript"/>
        </w:rPr>
        <w:t>2+</w:t>
      </w:r>
      <w:r w:rsidRPr="00CE36B9">
        <w:rPr>
          <w:sz w:val="24"/>
        </w:rPr>
        <w:t>)</w:t>
      </w:r>
      <w:r w:rsidRPr="00CE36B9">
        <w:rPr>
          <w:kern w:val="24"/>
          <w:sz w:val="24"/>
          <w:vertAlign w:val="subscript"/>
        </w:rPr>
        <w:t>8</w:t>
      </w:r>
      <w:r w:rsidRPr="00CE36B9">
        <w:rPr>
          <w:sz w:val="24"/>
        </w:rPr>
        <w:t>O</w:t>
      </w:r>
      <w:r w:rsidRPr="00CE36B9">
        <w:rPr>
          <w:kern w:val="24"/>
          <w:sz w:val="24"/>
          <w:vertAlign w:val="subscript"/>
        </w:rPr>
        <w:t>16</w:t>
      </w:r>
      <w:r w:rsidRPr="00CE36B9">
        <w:rPr>
          <w:sz w:val="24"/>
        </w:rPr>
        <w:t xml:space="preserve">) associado à adição de P na forma de </w:t>
      </w:r>
      <w:proofErr w:type="spellStart"/>
      <w:r w:rsidRPr="00CE36B9">
        <w:rPr>
          <w:sz w:val="24"/>
        </w:rPr>
        <w:t>super</w:t>
      </w:r>
      <w:r w:rsidR="00693400">
        <w:rPr>
          <w:sz w:val="24"/>
        </w:rPr>
        <w:t>fosfato</w:t>
      </w:r>
      <w:r w:rsidRPr="00CE36B9">
        <w:rPr>
          <w:sz w:val="24"/>
        </w:rPr>
        <w:t>triplo</w:t>
      </w:r>
      <w:proofErr w:type="spellEnd"/>
      <w:r w:rsidRPr="00CE36B9">
        <w:rPr>
          <w:sz w:val="24"/>
        </w:rPr>
        <w:t xml:space="preserve"> </w:t>
      </w:r>
      <w:r w:rsidR="00693400">
        <w:rPr>
          <w:sz w:val="24"/>
        </w:rPr>
        <w:t>(</w:t>
      </w:r>
      <w:r w:rsidR="00693400" w:rsidRPr="00693400">
        <w:rPr>
          <w:sz w:val="24"/>
          <w:highlight w:val="yellow"/>
        </w:rPr>
        <w:t>fórmula ???</w:t>
      </w:r>
      <w:r w:rsidR="00693400">
        <w:rPr>
          <w:sz w:val="24"/>
        </w:rPr>
        <w:t xml:space="preserve">) </w:t>
      </w:r>
      <w:r w:rsidRPr="00CE36B9">
        <w:rPr>
          <w:sz w:val="24"/>
        </w:rPr>
        <w:t xml:space="preserve">foi mais eficiente na redução da disponibilidade do </w:t>
      </w:r>
      <w:proofErr w:type="spellStart"/>
      <w:r w:rsidRPr="00CE36B9">
        <w:rPr>
          <w:sz w:val="24"/>
        </w:rPr>
        <w:t>Pb</w:t>
      </w:r>
      <w:proofErr w:type="spellEnd"/>
      <w:r w:rsidRPr="00CE36B9">
        <w:rPr>
          <w:sz w:val="24"/>
        </w:rPr>
        <w:t xml:space="preserve"> do que apenas a adição de P. Estes autores sugerem que o </w:t>
      </w:r>
      <w:proofErr w:type="spellStart"/>
      <w:r w:rsidRPr="00CE36B9">
        <w:rPr>
          <w:sz w:val="24"/>
        </w:rPr>
        <w:t>Pb</w:t>
      </w:r>
      <w:proofErr w:type="spellEnd"/>
      <w:r w:rsidRPr="00CE36B9">
        <w:rPr>
          <w:sz w:val="24"/>
        </w:rPr>
        <w:t xml:space="preserve"> ligado no complexo de troca </w:t>
      </w:r>
      <w:r w:rsidRPr="00CE36B9">
        <w:rPr>
          <w:sz w:val="24"/>
        </w:rPr>
        <w:lastRenderedPageBreak/>
        <w:t xml:space="preserve">do solo foi fortemente atraído pelo óxido de Mn. Posteriormente, o P interagiu com o </w:t>
      </w:r>
      <w:proofErr w:type="spellStart"/>
      <w:r w:rsidRPr="00CE36B9">
        <w:rPr>
          <w:sz w:val="24"/>
        </w:rPr>
        <w:t>Pb</w:t>
      </w:r>
      <w:proofErr w:type="spellEnd"/>
      <w:r w:rsidRPr="00CE36B9">
        <w:rPr>
          <w:sz w:val="24"/>
        </w:rPr>
        <w:t xml:space="preserve"> promovendo a dissolução dos óxidos de Mn e formação da </w:t>
      </w:r>
      <w:proofErr w:type="spellStart"/>
      <w:r w:rsidRPr="00CE36B9">
        <w:rPr>
          <w:sz w:val="24"/>
        </w:rPr>
        <w:t>cloropiromorfita</w:t>
      </w:r>
      <w:proofErr w:type="spellEnd"/>
      <w:r w:rsidRPr="00CE36B9">
        <w:rPr>
          <w:sz w:val="24"/>
        </w:rPr>
        <w:t xml:space="preserve">. Estes autores verificaram em análise de DRX o desaparecimento de reflexões da </w:t>
      </w:r>
      <w:proofErr w:type="spellStart"/>
      <w:r w:rsidRPr="00CE36B9">
        <w:rPr>
          <w:sz w:val="24"/>
        </w:rPr>
        <w:t>criptomelana</w:t>
      </w:r>
      <w:proofErr w:type="spellEnd"/>
      <w:r w:rsidRPr="00CE36B9">
        <w:rPr>
          <w:sz w:val="24"/>
        </w:rPr>
        <w:t xml:space="preserve"> e surgimento de reflexões de </w:t>
      </w:r>
      <w:proofErr w:type="spellStart"/>
      <w:r w:rsidRPr="00CE36B9">
        <w:rPr>
          <w:sz w:val="24"/>
        </w:rPr>
        <w:t>cloropiromorfita</w:t>
      </w:r>
      <w:proofErr w:type="spellEnd"/>
      <w:r w:rsidRPr="00CE36B9">
        <w:rPr>
          <w:sz w:val="24"/>
        </w:rPr>
        <w:t>. Desta forma, os constituintes minerais presentes na matriz do solo também influenciam o controle de Pb</w:t>
      </w:r>
      <w:r w:rsidRPr="00CE36B9">
        <w:rPr>
          <w:sz w:val="24"/>
          <w:vertAlign w:val="superscript"/>
        </w:rPr>
        <w:t>2+</w:t>
      </w:r>
      <w:r w:rsidRPr="00CE36B9">
        <w:rPr>
          <w:sz w:val="24"/>
        </w:rPr>
        <w:t xml:space="preserve"> para a solução do solo.</w:t>
      </w:r>
    </w:p>
    <w:p w:rsidR="00CE36B9" w:rsidRPr="00CE36B9" w:rsidRDefault="00CE36B9" w:rsidP="006E0061">
      <w:pPr>
        <w:spacing w:after="0" w:line="360" w:lineRule="auto"/>
        <w:ind w:firstLine="709"/>
        <w:jc w:val="both"/>
        <w:rPr>
          <w:sz w:val="24"/>
        </w:rPr>
      </w:pPr>
      <w:r w:rsidRPr="00CE36B9">
        <w:rPr>
          <w:sz w:val="24"/>
        </w:rPr>
        <w:t xml:space="preserve">Entretanto, </w:t>
      </w:r>
      <w:r w:rsidR="00251802">
        <w:rPr>
          <w:sz w:val="24"/>
        </w:rPr>
        <w:t>o conhecimento d</w:t>
      </w:r>
      <w:r w:rsidRPr="00CE36B9">
        <w:rPr>
          <w:sz w:val="24"/>
        </w:rPr>
        <w:t xml:space="preserve">a dinâmica da interação do </w:t>
      </w:r>
      <w:proofErr w:type="spellStart"/>
      <w:r w:rsidRPr="00CE36B9">
        <w:rPr>
          <w:sz w:val="24"/>
        </w:rPr>
        <w:t>Pb</w:t>
      </w:r>
      <w:proofErr w:type="spellEnd"/>
      <w:r w:rsidRPr="00CE36B9">
        <w:rPr>
          <w:sz w:val="24"/>
        </w:rPr>
        <w:t xml:space="preserve"> e P na fase líquida do solo bem como informações sobre a predição da estabilidade dos fosfatos de </w:t>
      </w:r>
      <w:proofErr w:type="spellStart"/>
      <w:r w:rsidRPr="00CE36B9">
        <w:rPr>
          <w:sz w:val="24"/>
        </w:rPr>
        <w:t>Pb</w:t>
      </w:r>
      <w:proofErr w:type="spellEnd"/>
      <w:r w:rsidRPr="00CE36B9">
        <w:rPr>
          <w:sz w:val="24"/>
        </w:rPr>
        <w:t xml:space="preserve"> e equilíbrio após estabilização química do </w:t>
      </w:r>
      <w:proofErr w:type="spellStart"/>
      <w:r w:rsidRPr="00CE36B9">
        <w:rPr>
          <w:sz w:val="24"/>
        </w:rPr>
        <w:t>Pb</w:t>
      </w:r>
      <w:proofErr w:type="spellEnd"/>
      <w:r w:rsidRPr="00CE36B9">
        <w:rPr>
          <w:sz w:val="24"/>
        </w:rPr>
        <w:t xml:space="preserve"> pela adição de P em solos tropicais são limitadas. Este estudo teve o objetivo de avaliar as mudanças ocorridas na solução do solo e suas implicações no equilíbrio químico da </w:t>
      </w:r>
      <w:proofErr w:type="spellStart"/>
      <w:r w:rsidRPr="00CE36B9">
        <w:rPr>
          <w:sz w:val="24"/>
        </w:rPr>
        <w:t>cloropiromorfita</w:t>
      </w:r>
      <w:proofErr w:type="spellEnd"/>
      <w:r w:rsidRPr="00CE36B9">
        <w:rPr>
          <w:sz w:val="24"/>
        </w:rPr>
        <w:t xml:space="preserve"> em solos com materiais de origem e texturas contrastantes, contaminados com </w:t>
      </w:r>
      <w:proofErr w:type="spellStart"/>
      <w:r w:rsidRPr="00CE36B9">
        <w:rPr>
          <w:sz w:val="24"/>
        </w:rPr>
        <w:t>Pb</w:t>
      </w:r>
      <w:proofErr w:type="spellEnd"/>
      <w:r w:rsidRPr="00CE36B9">
        <w:rPr>
          <w:sz w:val="24"/>
        </w:rPr>
        <w:t xml:space="preserve"> e remediados com fosfatos.</w:t>
      </w:r>
    </w:p>
    <w:p w:rsidR="00CE36B9" w:rsidRPr="00CE36B9" w:rsidRDefault="00CE36B9" w:rsidP="00CE36B9">
      <w:pPr>
        <w:spacing w:after="0" w:line="360" w:lineRule="auto"/>
        <w:ind w:firstLine="709"/>
        <w:jc w:val="both"/>
        <w:rPr>
          <w:sz w:val="24"/>
        </w:rPr>
      </w:pPr>
    </w:p>
    <w:p w:rsidR="00CE36B9" w:rsidRPr="001B2E21" w:rsidRDefault="00CE36B9" w:rsidP="006E0061">
      <w:pPr>
        <w:pStyle w:val="Ttulo2"/>
        <w:spacing w:before="0" w:after="0" w:line="360" w:lineRule="auto"/>
        <w:rPr>
          <w:sz w:val="24"/>
        </w:rPr>
      </w:pPr>
      <w:bookmarkStart w:id="6" w:name="_Toc443247120"/>
      <w:r w:rsidRPr="001B2E21">
        <w:rPr>
          <w:sz w:val="24"/>
        </w:rPr>
        <w:t>2.2 MATERIAL E MÉTODOS</w:t>
      </w:r>
      <w:bookmarkEnd w:id="6"/>
    </w:p>
    <w:p w:rsidR="00CE36B9" w:rsidRPr="00410BD5" w:rsidRDefault="00CE36B9" w:rsidP="004913F4">
      <w:pPr>
        <w:pStyle w:val="Subttulo"/>
        <w:spacing w:after="0" w:line="360" w:lineRule="auto"/>
        <w:jc w:val="both"/>
        <w:rPr>
          <w:rStyle w:val="TtulodoLivro"/>
          <w:rFonts w:ascii="Times New Roman" w:hAnsi="Times New Roman"/>
          <w:i w:val="0"/>
          <w:spacing w:val="0"/>
        </w:rPr>
      </w:pPr>
      <w:bookmarkStart w:id="7" w:name="_Toc443247121"/>
      <w:r w:rsidRPr="00410BD5">
        <w:rPr>
          <w:rStyle w:val="TtulodoLivro"/>
          <w:rFonts w:ascii="Times New Roman" w:hAnsi="Times New Roman"/>
          <w:i w:val="0"/>
          <w:spacing w:val="0"/>
        </w:rPr>
        <w:t xml:space="preserve">2.2.1. </w:t>
      </w:r>
      <w:bookmarkEnd w:id="7"/>
      <w:r w:rsidR="00251802">
        <w:rPr>
          <w:rStyle w:val="TtulodoLivro"/>
          <w:rFonts w:ascii="Times New Roman" w:hAnsi="Times New Roman"/>
          <w:bCs w:val="0"/>
          <w:i w:val="0"/>
          <w:iCs w:val="0"/>
          <w:spacing w:val="0"/>
        </w:rPr>
        <w:t xml:space="preserve">Amostragem e </w:t>
      </w:r>
      <w:r w:rsidR="00251802" w:rsidRPr="00086B4F">
        <w:rPr>
          <w:rStyle w:val="TtulodoLivro"/>
          <w:rFonts w:ascii="Times New Roman" w:hAnsi="Times New Roman"/>
          <w:bCs w:val="0"/>
          <w:i w:val="0"/>
          <w:iCs w:val="0"/>
          <w:spacing w:val="0"/>
        </w:rPr>
        <w:t>Caracterização dos Solos</w:t>
      </w:r>
      <w:r w:rsidR="00251802">
        <w:rPr>
          <w:rStyle w:val="TtulodoLivro"/>
          <w:rFonts w:ascii="Times New Roman" w:hAnsi="Times New Roman"/>
          <w:bCs w:val="0"/>
          <w:i w:val="0"/>
          <w:iCs w:val="0"/>
          <w:spacing w:val="0"/>
        </w:rPr>
        <w:t xml:space="preserve"> </w:t>
      </w:r>
    </w:p>
    <w:p w:rsidR="006949C9" w:rsidRDefault="00CE36B9" w:rsidP="006949C9">
      <w:pPr>
        <w:suppressAutoHyphens w:val="0"/>
        <w:spacing w:after="0" w:line="360" w:lineRule="auto"/>
        <w:ind w:firstLine="709"/>
        <w:jc w:val="both"/>
        <w:rPr>
          <w:rFonts w:eastAsia="Times New Roman"/>
          <w:kern w:val="0"/>
          <w:sz w:val="24"/>
          <w:lang w:eastAsia="pt-BR"/>
        </w:rPr>
      </w:pPr>
      <w:r w:rsidRPr="00CE36B9">
        <w:rPr>
          <w:kern w:val="0"/>
          <w:sz w:val="24"/>
        </w:rPr>
        <w:t xml:space="preserve">Foram coletados cerca de 50 kg de amostra deformada do horizonte A de um </w:t>
      </w:r>
      <w:proofErr w:type="spellStart"/>
      <w:r w:rsidRPr="00CE36B9">
        <w:rPr>
          <w:kern w:val="0"/>
          <w:sz w:val="24"/>
        </w:rPr>
        <w:t>Latossolo</w:t>
      </w:r>
      <w:proofErr w:type="spellEnd"/>
      <w:r w:rsidRPr="00CE36B9">
        <w:rPr>
          <w:kern w:val="0"/>
          <w:sz w:val="24"/>
        </w:rPr>
        <w:t xml:space="preserve"> Vermelho (LV) de textura média (desenvolvido de arenito) e de um </w:t>
      </w:r>
      <w:proofErr w:type="spellStart"/>
      <w:r w:rsidRPr="00CE36B9">
        <w:rPr>
          <w:kern w:val="0"/>
          <w:sz w:val="24"/>
        </w:rPr>
        <w:t>Nitossolo</w:t>
      </w:r>
      <w:proofErr w:type="spellEnd"/>
      <w:r w:rsidRPr="00CE36B9">
        <w:rPr>
          <w:kern w:val="0"/>
          <w:sz w:val="24"/>
        </w:rPr>
        <w:t xml:space="preserve"> Vermelho (NV), de textura muito argilosa (desenvolvido de basalto), ambos do </w:t>
      </w:r>
      <w:r w:rsidR="006949C9">
        <w:rPr>
          <w:kern w:val="0"/>
          <w:sz w:val="24"/>
        </w:rPr>
        <w:t xml:space="preserve">estado do Paraná, </w:t>
      </w:r>
      <w:proofErr w:type="spellStart"/>
      <w:r w:rsidR="006949C9">
        <w:rPr>
          <w:kern w:val="0"/>
          <w:sz w:val="24"/>
        </w:rPr>
        <w:t>Brazil</w:t>
      </w:r>
      <w:proofErr w:type="spellEnd"/>
      <w:r w:rsidR="006949C9">
        <w:rPr>
          <w:kern w:val="0"/>
          <w:sz w:val="24"/>
        </w:rPr>
        <w:t xml:space="preserve">. </w:t>
      </w:r>
      <w:r w:rsidR="006949C9" w:rsidRPr="00993388">
        <w:rPr>
          <w:rFonts w:eastAsia="Times New Roman"/>
          <w:kern w:val="0"/>
          <w:sz w:val="24"/>
          <w:lang w:eastAsia="pt-BR"/>
        </w:rPr>
        <w:t xml:space="preserve">As amostras foram secas ao ar e passada em peneira de 2 mm </w:t>
      </w:r>
      <w:r w:rsidR="006949C9">
        <w:rPr>
          <w:rFonts w:eastAsia="Times New Roman"/>
          <w:kern w:val="0"/>
          <w:sz w:val="24"/>
          <w:lang w:eastAsia="pt-BR"/>
        </w:rPr>
        <w:t xml:space="preserve">(terra fina seca ao ar - FDE) </w:t>
      </w:r>
      <w:r w:rsidR="006949C9" w:rsidRPr="00993388">
        <w:rPr>
          <w:rFonts w:eastAsia="Times New Roman"/>
          <w:kern w:val="0"/>
          <w:sz w:val="24"/>
          <w:lang w:eastAsia="pt-BR"/>
        </w:rPr>
        <w:t xml:space="preserve">para </w:t>
      </w:r>
      <w:r w:rsidR="006949C9">
        <w:rPr>
          <w:rFonts w:eastAsia="Times New Roman"/>
          <w:kern w:val="0"/>
          <w:sz w:val="24"/>
          <w:lang w:eastAsia="pt-BR"/>
        </w:rPr>
        <w:t>caracterização química e física dos solos (Tabela 1). Os teores de Fe cristalinos (</w:t>
      </w:r>
      <w:proofErr w:type="spellStart"/>
      <w:r w:rsidR="006949C9">
        <w:rPr>
          <w:rFonts w:eastAsia="Times New Roman"/>
          <w:kern w:val="0"/>
          <w:sz w:val="24"/>
          <w:lang w:eastAsia="pt-BR"/>
        </w:rPr>
        <w:t>ditionito-citratro-bicarbonato</w:t>
      </w:r>
      <w:proofErr w:type="spellEnd"/>
      <w:r w:rsidR="006949C9">
        <w:rPr>
          <w:rFonts w:eastAsia="Times New Roman"/>
          <w:kern w:val="0"/>
          <w:sz w:val="24"/>
          <w:lang w:eastAsia="pt-BR"/>
        </w:rPr>
        <w:t>) foram determinados na fração argila.</w:t>
      </w:r>
    </w:p>
    <w:p w:rsidR="00E1432B" w:rsidRDefault="00E1432B" w:rsidP="004132CF">
      <w:pPr>
        <w:suppressAutoHyphens w:val="0"/>
        <w:spacing w:after="0" w:line="360" w:lineRule="auto"/>
        <w:jc w:val="both"/>
        <w:rPr>
          <w:kern w:val="0"/>
          <w:sz w:val="24"/>
        </w:rPr>
      </w:pPr>
    </w:p>
    <w:p w:rsidR="00CE36B9" w:rsidRPr="00CE36B9" w:rsidRDefault="00F154F8" w:rsidP="004132CF">
      <w:pPr>
        <w:suppressAutoHyphens w:val="0"/>
        <w:spacing w:after="0" w:line="360" w:lineRule="auto"/>
        <w:jc w:val="both"/>
        <w:rPr>
          <w:kern w:val="0"/>
          <w:sz w:val="24"/>
        </w:rPr>
      </w:pPr>
      <w:r>
        <w:rPr>
          <w:kern w:val="0"/>
          <w:sz w:val="24"/>
        </w:rPr>
        <w:br w:type="page"/>
      </w:r>
      <w:r w:rsidR="00CE36B9" w:rsidRPr="00667271">
        <w:rPr>
          <w:b/>
          <w:kern w:val="0"/>
          <w:sz w:val="24"/>
        </w:rPr>
        <w:lastRenderedPageBreak/>
        <w:t>Tabela 1.</w:t>
      </w:r>
      <w:r w:rsidR="00CE36B9" w:rsidRPr="00CE36B9">
        <w:rPr>
          <w:kern w:val="0"/>
          <w:sz w:val="24"/>
        </w:rPr>
        <w:t xml:space="preserve"> Atributos físicos, químicos e mineralógicos d</w:t>
      </w:r>
      <w:r w:rsidR="00C13140">
        <w:rPr>
          <w:kern w:val="0"/>
          <w:sz w:val="24"/>
        </w:rPr>
        <w:t>os solos</w:t>
      </w:r>
      <w:r w:rsidR="00CE36B9" w:rsidRPr="00CE36B9">
        <w:rPr>
          <w:kern w:val="0"/>
          <w:sz w:val="24"/>
        </w:rPr>
        <w:t>.</w:t>
      </w:r>
    </w:p>
    <w:p w:rsidR="004838BA" w:rsidRDefault="004838BA" w:rsidP="004838BA">
      <w:pPr>
        <w:suppressAutoHyphens w:val="0"/>
        <w:spacing w:after="0" w:line="240" w:lineRule="auto"/>
        <w:jc w:val="center"/>
        <w:rPr>
          <w:kern w:val="0"/>
          <w:sz w:val="24"/>
        </w:rPr>
      </w:pPr>
      <w:r w:rsidRPr="00CE36B9">
        <w:rPr>
          <w:kern w:val="0"/>
          <w:sz w:val="24"/>
        </w:rPr>
        <w:object w:dxaOrig="12879" w:dyaOrig="3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00.5pt" o:ole="">
            <v:imagedata r:id="rId7" o:title=""/>
          </v:shape>
          <o:OLEObject Type="Embed" ProgID="Excel.Sheet.12" ShapeID="_x0000_i1025" DrawAspect="Content" ObjectID="_1555667996" r:id="rId8"/>
        </w:object>
      </w:r>
    </w:p>
    <w:p w:rsidR="00CE36B9" w:rsidRDefault="004132CF" w:rsidP="004132CF">
      <w:pPr>
        <w:spacing w:after="0" w:line="240" w:lineRule="auto"/>
        <w:jc w:val="both"/>
        <w:rPr>
          <w:kern w:val="0"/>
          <w:sz w:val="20"/>
          <w:szCs w:val="20"/>
        </w:rPr>
      </w:pPr>
      <w:r w:rsidRPr="00A91CB4">
        <w:rPr>
          <w:sz w:val="20"/>
          <w:szCs w:val="20"/>
        </w:rPr>
        <w:t>C</w:t>
      </w:r>
      <w:r w:rsidR="00251802">
        <w:rPr>
          <w:sz w:val="20"/>
          <w:szCs w:val="20"/>
        </w:rPr>
        <w:t>,</w:t>
      </w:r>
      <w:r w:rsidRPr="00A91CB4">
        <w:rPr>
          <w:sz w:val="20"/>
          <w:szCs w:val="20"/>
        </w:rPr>
        <w:t xml:space="preserve"> carbono orgânico total (via seca Vario Elementar)</w:t>
      </w:r>
      <w:r w:rsidR="00C13140">
        <w:rPr>
          <w:sz w:val="20"/>
          <w:szCs w:val="20"/>
        </w:rPr>
        <w:t>,</w:t>
      </w:r>
      <w:r w:rsidRPr="00A91CB4">
        <w:rPr>
          <w:sz w:val="20"/>
          <w:szCs w:val="20"/>
        </w:rPr>
        <w:t xml:space="preserve"> pH</w:t>
      </w:r>
      <w:r w:rsidR="00C13140">
        <w:rPr>
          <w:sz w:val="20"/>
          <w:szCs w:val="20"/>
        </w:rPr>
        <w:t>,</w:t>
      </w:r>
      <w:r w:rsidRPr="00A91CB4">
        <w:rPr>
          <w:sz w:val="20"/>
          <w:szCs w:val="20"/>
        </w:rPr>
        <w:t xml:space="preserve"> </w:t>
      </w:r>
      <w:r>
        <w:rPr>
          <w:sz w:val="20"/>
          <w:szCs w:val="20"/>
        </w:rPr>
        <w:t>CTC pH 7,0 (Ca</w:t>
      </w:r>
      <w:r w:rsidRPr="00C13140">
        <w:rPr>
          <w:sz w:val="20"/>
          <w:szCs w:val="20"/>
          <w:vertAlign w:val="superscript"/>
        </w:rPr>
        <w:t>2+</w:t>
      </w:r>
      <w:r>
        <w:rPr>
          <w:sz w:val="20"/>
          <w:szCs w:val="20"/>
        </w:rPr>
        <w:t xml:space="preserve"> + Mg</w:t>
      </w:r>
      <w:r w:rsidRPr="00C13140">
        <w:rPr>
          <w:sz w:val="20"/>
          <w:szCs w:val="20"/>
          <w:vertAlign w:val="superscript"/>
        </w:rPr>
        <w:t>2+</w:t>
      </w:r>
      <w:r>
        <w:rPr>
          <w:sz w:val="20"/>
          <w:szCs w:val="20"/>
        </w:rPr>
        <w:t xml:space="preserve"> + K</w:t>
      </w:r>
      <w:r w:rsidRPr="00C13140">
        <w:rPr>
          <w:sz w:val="20"/>
          <w:szCs w:val="20"/>
          <w:vertAlign w:val="superscript"/>
        </w:rPr>
        <w:t>+</w:t>
      </w:r>
      <w:r>
        <w:rPr>
          <w:sz w:val="20"/>
          <w:szCs w:val="20"/>
        </w:rPr>
        <w:t xml:space="preserve"> + Al</w:t>
      </w:r>
      <w:r w:rsidRPr="00C13140">
        <w:rPr>
          <w:sz w:val="20"/>
          <w:szCs w:val="20"/>
          <w:vertAlign w:val="superscript"/>
        </w:rPr>
        <w:t>3+</w:t>
      </w:r>
      <w:r>
        <w:rPr>
          <w:sz w:val="20"/>
          <w:szCs w:val="20"/>
        </w:rPr>
        <w:t xml:space="preserve"> + H)</w:t>
      </w:r>
      <w:r w:rsidR="00C13140">
        <w:rPr>
          <w:sz w:val="20"/>
          <w:szCs w:val="20"/>
        </w:rPr>
        <w:t>,</w:t>
      </w:r>
      <w:r>
        <w:rPr>
          <w:sz w:val="20"/>
          <w:szCs w:val="20"/>
        </w:rPr>
        <w:t xml:space="preserve"> </w:t>
      </w:r>
      <w:r w:rsidRPr="009B0148">
        <w:rPr>
          <w:sz w:val="20"/>
          <w:szCs w:val="20"/>
        </w:rPr>
        <w:t>areia</w:t>
      </w:r>
      <w:r w:rsidR="00C13140">
        <w:rPr>
          <w:sz w:val="20"/>
          <w:szCs w:val="20"/>
        </w:rPr>
        <w:t xml:space="preserve"> e</w:t>
      </w:r>
      <w:r w:rsidRPr="009B0148">
        <w:rPr>
          <w:sz w:val="20"/>
          <w:szCs w:val="20"/>
        </w:rPr>
        <w:t xml:space="preserve"> argila</w:t>
      </w:r>
      <w:r w:rsidR="00C13140">
        <w:rPr>
          <w:sz w:val="20"/>
          <w:szCs w:val="20"/>
        </w:rPr>
        <w:t xml:space="preserve"> (pippet method)</w:t>
      </w:r>
      <w:r w:rsidRPr="009B0148">
        <w:rPr>
          <w:sz w:val="20"/>
          <w:szCs w:val="20"/>
        </w:rPr>
        <w:t xml:space="preserve"> - Embrapa (1997). </w:t>
      </w:r>
      <w:r w:rsidRPr="009B0148">
        <w:rPr>
          <w:kern w:val="0"/>
          <w:sz w:val="20"/>
          <w:szCs w:val="20"/>
        </w:rPr>
        <w:t>Fe</w:t>
      </w:r>
      <w:r w:rsidRPr="009B0148">
        <w:rPr>
          <w:kern w:val="0"/>
          <w:sz w:val="20"/>
          <w:szCs w:val="20"/>
          <w:vertAlign w:val="subscript"/>
        </w:rPr>
        <w:t>2</w:t>
      </w:r>
      <w:r w:rsidRPr="009B0148">
        <w:rPr>
          <w:kern w:val="0"/>
          <w:sz w:val="20"/>
          <w:szCs w:val="20"/>
        </w:rPr>
        <w:t>O</w:t>
      </w:r>
      <w:r w:rsidRPr="009B0148">
        <w:rPr>
          <w:kern w:val="0"/>
          <w:sz w:val="20"/>
          <w:szCs w:val="20"/>
          <w:vertAlign w:val="subscript"/>
        </w:rPr>
        <w:t xml:space="preserve">3 </w:t>
      </w:r>
      <w:r w:rsidRPr="009B0148">
        <w:rPr>
          <w:kern w:val="0"/>
          <w:sz w:val="20"/>
          <w:szCs w:val="20"/>
        </w:rPr>
        <w:t>DCB, óxidos de Fe</w:t>
      </w:r>
      <w:r w:rsidRPr="009B0148">
        <w:rPr>
          <w:sz w:val="20"/>
          <w:szCs w:val="20"/>
        </w:rPr>
        <w:t xml:space="preserve"> cristalinos + amorfos na fração argila extraídos com ditionito-citrato-bicarbonato - Mehra &amp; Jackson (1960)</w:t>
      </w:r>
      <w:r w:rsidRPr="009B0148">
        <w:rPr>
          <w:kern w:val="0"/>
          <w:sz w:val="20"/>
          <w:szCs w:val="20"/>
        </w:rPr>
        <w:t>.</w:t>
      </w:r>
    </w:p>
    <w:p w:rsidR="004132CF" w:rsidRPr="00CE36B9" w:rsidRDefault="004132CF" w:rsidP="006E0061">
      <w:pPr>
        <w:spacing w:after="0" w:line="360" w:lineRule="auto"/>
        <w:jc w:val="both"/>
        <w:rPr>
          <w:sz w:val="24"/>
        </w:rPr>
      </w:pPr>
    </w:p>
    <w:p w:rsidR="00B43D98" w:rsidRPr="00410BD5" w:rsidRDefault="00B43D98" w:rsidP="00B43D98">
      <w:pPr>
        <w:pStyle w:val="Subttulo"/>
        <w:spacing w:after="0" w:line="360" w:lineRule="auto"/>
        <w:jc w:val="left"/>
        <w:rPr>
          <w:rStyle w:val="TtulodoLivro"/>
          <w:rFonts w:ascii="Times New Roman" w:hAnsi="Times New Roman"/>
          <w:i w:val="0"/>
          <w:spacing w:val="0"/>
        </w:rPr>
      </w:pPr>
      <w:bookmarkStart w:id="8" w:name="_Toc443247107"/>
      <w:bookmarkStart w:id="9" w:name="_Toc416859136"/>
      <w:bookmarkStart w:id="10" w:name="_Toc443247108"/>
      <w:bookmarkStart w:id="11" w:name="_Toc443247123"/>
      <w:bookmarkStart w:id="12" w:name="_Toc416859140"/>
      <w:r w:rsidRPr="00410BD5">
        <w:rPr>
          <w:rStyle w:val="TtulodoLivro"/>
          <w:rFonts w:ascii="Times New Roman" w:hAnsi="Times New Roman"/>
          <w:i w:val="0"/>
          <w:spacing w:val="0"/>
        </w:rPr>
        <w:t>1.2.3. Capacidade Máxima de Adsorção de Pb (CMAPb) do</w:t>
      </w:r>
      <w:r>
        <w:rPr>
          <w:rStyle w:val="TtulodoLivro"/>
          <w:rFonts w:ascii="Times New Roman" w:hAnsi="Times New Roman"/>
          <w:i w:val="0"/>
          <w:spacing w:val="0"/>
        </w:rPr>
        <w:t xml:space="preserve"> horizonte A dos</w:t>
      </w:r>
      <w:r w:rsidRPr="00410BD5">
        <w:rPr>
          <w:rStyle w:val="TtulodoLivro"/>
          <w:rFonts w:ascii="Times New Roman" w:hAnsi="Times New Roman"/>
          <w:i w:val="0"/>
          <w:spacing w:val="0"/>
        </w:rPr>
        <w:t xml:space="preserve"> Solos</w:t>
      </w:r>
      <w:bookmarkEnd w:id="8"/>
    </w:p>
    <w:p w:rsidR="00B43D98" w:rsidRDefault="00B43D98" w:rsidP="00B43D98">
      <w:pPr>
        <w:spacing w:after="0" w:line="360" w:lineRule="auto"/>
        <w:ind w:firstLine="709"/>
        <w:jc w:val="both"/>
        <w:rPr>
          <w:rFonts w:cs="Times New Roman"/>
          <w:sz w:val="24"/>
          <w:lang w:val="en-US"/>
        </w:rPr>
      </w:pPr>
      <w:r w:rsidRPr="006F12B8">
        <w:rPr>
          <w:rFonts w:cs="Times New Roman"/>
          <w:sz w:val="24"/>
          <w:lang w:val="en-US"/>
        </w:rPr>
        <w:t xml:space="preserve">For the determination of the maximum </w:t>
      </w:r>
      <w:r>
        <w:rPr>
          <w:rFonts w:cs="Times New Roman"/>
          <w:sz w:val="24"/>
          <w:lang w:val="en-US"/>
        </w:rPr>
        <w:t xml:space="preserve"> </w:t>
      </w:r>
      <w:r w:rsidRPr="006F12B8">
        <w:rPr>
          <w:rFonts w:cs="Times New Roman"/>
          <w:sz w:val="24"/>
          <w:lang w:val="en-US"/>
        </w:rPr>
        <w:t>adsorption capacity of Pb (MA</w:t>
      </w:r>
      <w:r>
        <w:rPr>
          <w:rFonts w:cs="Times New Roman"/>
          <w:sz w:val="24"/>
          <w:lang w:val="en-US"/>
        </w:rPr>
        <w:t>C</w:t>
      </w:r>
      <w:r w:rsidRPr="006F12B8">
        <w:rPr>
          <w:rFonts w:cs="Times New Roman"/>
          <w:sz w:val="24"/>
          <w:lang w:val="en-US"/>
        </w:rPr>
        <w:t xml:space="preserve">Pb), 0.3 g of </w:t>
      </w:r>
      <w:r>
        <w:rPr>
          <w:rFonts w:cs="Times New Roman"/>
          <w:sz w:val="24"/>
          <w:lang w:val="en-US"/>
        </w:rPr>
        <w:t>FDE (A horizon) was suspended in 30 mL</w:t>
      </w:r>
      <w:r w:rsidRPr="006F12B8">
        <w:rPr>
          <w:rFonts w:cs="Times New Roman"/>
          <w:sz w:val="24"/>
          <w:lang w:val="en-US"/>
        </w:rPr>
        <w:t xml:space="preserve"> of 0.45 mmol L</w:t>
      </w:r>
      <w:r w:rsidRPr="006F12B8">
        <w:rPr>
          <w:rFonts w:cs="Times New Roman"/>
          <w:sz w:val="24"/>
          <w:vertAlign w:val="superscript"/>
          <w:lang w:val="en-US"/>
        </w:rPr>
        <w:t>-1</w:t>
      </w:r>
      <w:r>
        <w:rPr>
          <w:rFonts w:cs="Times New Roman"/>
          <w:sz w:val="24"/>
          <w:vertAlign w:val="superscript"/>
          <w:lang w:val="en-US"/>
        </w:rPr>
        <w:t xml:space="preserve"> </w:t>
      </w:r>
      <w:r w:rsidRPr="006F12B8">
        <w:rPr>
          <w:rFonts w:cs="Times New Roman"/>
          <w:sz w:val="24"/>
          <w:lang w:val="en-US"/>
        </w:rPr>
        <w:t>Pb</w:t>
      </w:r>
      <w:r>
        <w:rPr>
          <w:rFonts w:cs="Times New Roman"/>
          <w:sz w:val="24"/>
          <w:lang w:val="en-US"/>
        </w:rPr>
        <w:t xml:space="preserve"> </w:t>
      </w:r>
      <w:r w:rsidRPr="006F12B8">
        <w:rPr>
          <w:rFonts w:cs="Times New Roman"/>
          <w:sz w:val="24"/>
          <w:lang w:val="en-US"/>
        </w:rPr>
        <w:t>(NO</w:t>
      </w:r>
      <w:r w:rsidRPr="006F12B8">
        <w:rPr>
          <w:rFonts w:cs="Times New Roman"/>
          <w:sz w:val="24"/>
          <w:vertAlign w:val="subscript"/>
          <w:lang w:val="en-US"/>
        </w:rPr>
        <w:t>3</w:t>
      </w:r>
      <w:r w:rsidRPr="006F12B8">
        <w:rPr>
          <w:rFonts w:cs="Times New Roman"/>
          <w:sz w:val="24"/>
          <w:lang w:val="en-US"/>
        </w:rPr>
        <w:t>)</w:t>
      </w:r>
      <w:r w:rsidRPr="006F12B8">
        <w:rPr>
          <w:rFonts w:cs="Times New Roman"/>
          <w:sz w:val="24"/>
          <w:vertAlign w:val="subscript"/>
          <w:lang w:val="en-US"/>
        </w:rPr>
        <w:t>2</w:t>
      </w:r>
      <w:r>
        <w:rPr>
          <w:rFonts w:cs="Times New Roman"/>
          <w:sz w:val="24"/>
          <w:lang w:val="en-US"/>
        </w:rPr>
        <w:t xml:space="preserve">, prepared </w:t>
      </w:r>
      <w:r>
        <w:rPr>
          <w:rFonts w:cs="Times New Roman"/>
          <w:sz w:val="24"/>
          <w:vertAlign w:val="subscript"/>
          <w:lang w:val="en-US"/>
        </w:rPr>
        <w:t xml:space="preserve"> </w:t>
      </w:r>
      <w:r>
        <w:rPr>
          <w:rFonts w:cs="Times New Roman"/>
          <w:sz w:val="24"/>
          <w:lang w:val="en-US"/>
        </w:rPr>
        <w:t xml:space="preserve">in </w:t>
      </w:r>
      <w:r w:rsidRPr="006F12B8">
        <w:rPr>
          <w:rFonts w:cs="Times New Roman"/>
          <w:sz w:val="24"/>
          <w:lang w:val="en-US"/>
        </w:rPr>
        <w:t>5 mmol L</w:t>
      </w:r>
      <w:r w:rsidRPr="006F12B8">
        <w:rPr>
          <w:rFonts w:cs="Times New Roman"/>
          <w:sz w:val="24"/>
          <w:vertAlign w:val="superscript"/>
          <w:lang w:val="en-US"/>
        </w:rPr>
        <w:t>-1</w:t>
      </w:r>
      <w:r w:rsidRPr="006F12B8">
        <w:rPr>
          <w:rFonts w:cs="Times New Roman"/>
          <w:sz w:val="24"/>
          <w:lang w:val="en-US"/>
        </w:rPr>
        <w:t xml:space="preserve"> pH 5.0 Ca(NO</w:t>
      </w:r>
      <w:r w:rsidRPr="006F12B8">
        <w:rPr>
          <w:rFonts w:cs="Times New Roman"/>
          <w:sz w:val="24"/>
          <w:vertAlign w:val="subscript"/>
          <w:lang w:val="en-US"/>
        </w:rPr>
        <w:t>3</w:t>
      </w:r>
      <w:r w:rsidRPr="006F12B8">
        <w:rPr>
          <w:rFonts w:cs="Times New Roman"/>
          <w:sz w:val="24"/>
          <w:lang w:val="en-US"/>
        </w:rPr>
        <w:t>)</w:t>
      </w:r>
      <w:r w:rsidRPr="006F12B8">
        <w:rPr>
          <w:rFonts w:cs="Times New Roman"/>
          <w:sz w:val="24"/>
          <w:vertAlign w:val="subscript"/>
          <w:lang w:val="en-US"/>
        </w:rPr>
        <w:t>2</w:t>
      </w:r>
      <w:r>
        <w:rPr>
          <w:rFonts w:cs="Times New Roman"/>
          <w:sz w:val="24"/>
          <w:lang w:val="en-US"/>
        </w:rPr>
        <w:t xml:space="preserve">. The sample + Pb solution was </w:t>
      </w:r>
      <w:r w:rsidRPr="006F12B8">
        <w:rPr>
          <w:rFonts w:cs="Times New Roman"/>
          <w:sz w:val="24"/>
          <w:lang w:val="en-US"/>
        </w:rPr>
        <w:t xml:space="preserve"> </w:t>
      </w:r>
      <w:r>
        <w:rPr>
          <w:rFonts w:cs="Times New Roman"/>
          <w:sz w:val="24"/>
          <w:lang w:val="en-US"/>
        </w:rPr>
        <w:t xml:space="preserve">both kept in </w:t>
      </w:r>
      <w:r w:rsidRPr="006F12B8">
        <w:rPr>
          <w:rFonts w:cs="Times New Roman"/>
          <w:sz w:val="24"/>
          <w:lang w:val="en-US"/>
        </w:rPr>
        <w:t>contact for</w:t>
      </w:r>
      <w:r>
        <w:rPr>
          <w:rFonts w:cs="Times New Roman"/>
          <w:sz w:val="24"/>
          <w:lang w:val="en-US"/>
        </w:rPr>
        <w:t xml:space="preserve"> 72 h, alternating 12 of shaking and </w:t>
      </w:r>
      <w:r w:rsidRPr="006F12B8">
        <w:rPr>
          <w:rFonts w:cs="Times New Roman"/>
          <w:sz w:val="24"/>
          <w:lang w:val="en-US"/>
        </w:rPr>
        <w:t xml:space="preserve">12 h </w:t>
      </w:r>
      <w:r>
        <w:rPr>
          <w:rFonts w:cs="Times New Roman"/>
          <w:sz w:val="24"/>
          <w:lang w:val="en-US"/>
        </w:rPr>
        <w:t xml:space="preserve">of </w:t>
      </w:r>
      <w:r w:rsidRPr="006F12B8">
        <w:rPr>
          <w:rFonts w:cs="Times New Roman"/>
          <w:sz w:val="24"/>
          <w:lang w:val="en-US"/>
        </w:rPr>
        <w:t>rest (Pierangeli, et al., 2001). After this period, the s</w:t>
      </w:r>
      <w:r>
        <w:rPr>
          <w:rFonts w:cs="Times New Roman"/>
          <w:sz w:val="24"/>
          <w:lang w:val="en-US"/>
        </w:rPr>
        <w:t>uspension</w:t>
      </w:r>
      <w:r w:rsidRPr="006F12B8">
        <w:rPr>
          <w:rFonts w:cs="Times New Roman"/>
          <w:sz w:val="24"/>
          <w:lang w:val="en-US"/>
        </w:rPr>
        <w:t xml:space="preserve"> were centrifuged (3,424 × g), the supernatant collected for Pb</w:t>
      </w:r>
      <w:r>
        <w:rPr>
          <w:rFonts w:cs="Times New Roman"/>
          <w:sz w:val="24"/>
          <w:lang w:val="en-US"/>
        </w:rPr>
        <w:t xml:space="preserve"> determination </w:t>
      </w:r>
      <w:r w:rsidRPr="006F12B8">
        <w:rPr>
          <w:rFonts w:cs="Times New Roman"/>
          <w:sz w:val="24"/>
          <w:lang w:val="en-US"/>
        </w:rPr>
        <w:t>by atomic absorption spectrometry. This procedure was repeated until the increase in adsorption was less than 2%. The MACPb was estimated by the sum of the amounts adsorbed in each series</w:t>
      </w:r>
      <w:r w:rsidR="006132A3">
        <w:rPr>
          <w:rFonts w:cs="Times New Roman"/>
          <w:sz w:val="24"/>
          <w:lang w:val="en-US"/>
        </w:rPr>
        <w:t xml:space="preserve"> and the values </w:t>
      </w:r>
      <w:r w:rsidR="00070919">
        <w:rPr>
          <w:rFonts w:cs="Times New Roman"/>
          <w:sz w:val="24"/>
          <w:lang w:val="en-US"/>
        </w:rPr>
        <w:t>are</w:t>
      </w:r>
      <w:r w:rsidR="006132A3">
        <w:rPr>
          <w:rFonts w:cs="Times New Roman"/>
          <w:sz w:val="24"/>
          <w:lang w:val="en-US"/>
        </w:rPr>
        <w:t xml:space="preserve"> (mg kg</w:t>
      </w:r>
      <w:r w:rsidR="006132A3" w:rsidRPr="006132A3">
        <w:rPr>
          <w:rFonts w:cs="Times New Roman"/>
          <w:sz w:val="24"/>
          <w:vertAlign w:val="superscript"/>
          <w:lang w:val="en-US"/>
        </w:rPr>
        <w:t>-1</w:t>
      </w:r>
      <w:r w:rsidR="006132A3">
        <w:rPr>
          <w:rFonts w:cs="Times New Roman"/>
          <w:sz w:val="24"/>
          <w:lang w:val="en-US"/>
        </w:rPr>
        <w:t>): LV Ap1 horizon - 1581,1; CX A horizon - 9429,5.</w:t>
      </w:r>
    </w:p>
    <w:p w:rsidR="008A03E9" w:rsidRPr="00410BD5" w:rsidRDefault="008A03E9" w:rsidP="008A03E9">
      <w:pPr>
        <w:pStyle w:val="Subttulo"/>
        <w:spacing w:after="0" w:line="360" w:lineRule="auto"/>
        <w:jc w:val="both"/>
        <w:rPr>
          <w:rFonts w:ascii="Times New Roman" w:hAnsi="Times New Roman"/>
          <w:i/>
          <w:color w:val="000000"/>
        </w:rPr>
      </w:pPr>
      <w:r w:rsidRPr="00410BD5">
        <w:rPr>
          <w:rStyle w:val="TtulodoLivro"/>
          <w:rFonts w:ascii="Times New Roman" w:hAnsi="Times New Roman"/>
          <w:i w:val="0"/>
          <w:spacing w:val="0"/>
        </w:rPr>
        <w:t xml:space="preserve">1.2.4. Experimento de Contaminação dos Solos com Pb e Remediação Através da Estabilização Química com </w:t>
      </w:r>
      <w:bookmarkEnd w:id="9"/>
      <w:r w:rsidRPr="00410BD5">
        <w:rPr>
          <w:rStyle w:val="TtulodoLivro"/>
          <w:rFonts w:ascii="Times New Roman" w:hAnsi="Times New Roman"/>
          <w:i w:val="0"/>
          <w:spacing w:val="0"/>
        </w:rPr>
        <w:t>Fosfato</w:t>
      </w:r>
      <w:bookmarkEnd w:id="10"/>
    </w:p>
    <w:p w:rsidR="008A03E9" w:rsidRPr="00993388" w:rsidRDefault="008A03E9" w:rsidP="008A03E9">
      <w:pPr>
        <w:spacing w:after="0" w:line="360" w:lineRule="auto"/>
        <w:ind w:firstLine="709"/>
        <w:jc w:val="both"/>
        <w:rPr>
          <w:sz w:val="24"/>
        </w:rPr>
      </w:pPr>
      <w:r>
        <w:rPr>
          <w:color w:val="000000"/>
          <w:sz w:val="24"/>
        </w:rPr>
        <w:t>A</w:t>
      </w:r>
      <w:r w:rsidRPr="00993388">
        <w:rPr>
          <w:color w:val="000000"/>
          <w:sz w:val="24"/>
        </w:rPr>
        <w:t>mostras de TFSA (550 g) do horizonte A de cada solo foram acondicionados em sacos plásticos de 2,3 dm</w:t>
      </w:r>
      <w:r w:rsidRPr="00993388">
        <w:rPr>
          <w:color w:val="000000"/>
          <w:sz w:val="24"/>
          <w:vertAlign w:val="superscript"/>
        </w:rPr>
        <w:t>3</w:t>
      </w:r>
      <w:r w:rsidRPr="00993388">
        <w:rPr>
          <w:color w:val="000000"/>
          <w:sz w:val="24"/>
        </w:rPr>
        <w:t>, que constituíram as unidades experimentais. O delineamento</w:t>
      </w:r>
      <w:r w:rsidRPr="00993388">
        <w:rPr>
          <w:sz w:val="24"/>
        </w:rPr>
        <w:t xml:space="preserve"> experimental utilizado foi inteiramente casualizado, com três repetições em esquema fatorial 2x2x2x4 sendo dois solos</w:t>
      </w:r>
      <w:r>
        <w:rPr>
          <w:sz w:val="24"/>
        </w:rPr>
        <w:t xml:space="preserve"> (horizonte A)</w:t>
      </w:r>
      <w:r w:rsidRPr="00993388">
        <w:rPr>
          <w:sz w:val="24"/>
        </w:rPr>
        <w:t xml:space="preserve">, dois níveis de pH (natural </w:t>
      </w:r>
      <w:r>
        <w:rPr>
          <w:sz w:val="24"/>
        </w:rPr>
        <w:t xml:space="preserve">(Tabela 1) </w:t>
      </w:r>
      <w:r w:rsidRPr="00993388">
        <w:rPr>
          <w:sz w:val="24"/>
        </w:rPr>
        <w:t>e 7,0), duas doses de Pb e quatro doses de P, avaliados aos 30, 60 e 311 dias de incubação, totalizando 96 unidades experimentais (Tabela 2).</w:t>
      </w:r>
    </w:p>
    <w:p w:rsidR="008A03E9" w:rsidRPr="00993388" w:rsidRDefault="008A03E9" w:rsidP="008A03E9">
      <w:pPr>
        <w:spacing w:after="0" w:line="360" w:lineRule="auto"/>
        <w:ind w:firstLine="709"/>
        <w:jc w:val="both"/>
        <w:rPr>
          <w:sz w:val="24"/>
        </w:rPr>
      </w:pPr>
    </w:p>
    <w:p w:rsidR="008A03E9" w:rsidRDefault="008A03E9" w:rsidP="008A03E9">
      <w:pPr>
        <w:pStyle w:val="PargrafodaLista2"/>
        <w:spacing w:after="0" w:line="240" w:lineRule="auto"/>
        <w:ind w:left="0"/>
        <w:jc w:val="both"/>
      </w:pPr>
      <w:r>
        <w:br w:type="page"/>
      </w:r>
      <w:r w:rsidRPr="001D1FB8">
        <w:rPr>
          <w:b/>
        </w:rPr>
        <w:lastRenderedPageBreak/>
        <w:t>Tabela 2.</w:t>
      </w:r>
      <w:r w:rsidRPr="00993388">
        <w:t xml:space="preserve"> Tratamentos em função das doses de Pb </w:t>
      </w:r>
      <w:r w:rsidR="006132A3">
        <w:t xml:space="preserve">com base na </w:t>
      </w:r>
      <w:r w:rsidRPr="00993388">
        <w:t xml:space="preserve">capacidade máxima dos solos de adsorção de Pb </w:t>
      </w:r>
      <w:r w:rsidR="006132A3">
        <w:t>(</w:t>
      </w:r>
      <w:r w:rsidRPr="00993388">
        <w:t xml:space="preserve">CMAPb e </w:t>
      </w:r>
      <w:r w:rsidR="00461424">
        <w:t xml:space="preserve">doses de </w:t>
      </w:r>
      <w:r w:rsidRPr="00993388">
        <w:t>P e valores de pH nos solos LV (Latossolo Vermelho derivado de arenito) e NV (Nitossolo Vermelho derivado de basalto).</w:t>
      </w:r>
    </w:p>
    <w:p w:rsidR="008A03E9" w:rsidRPr="00993388" w:rsidRDefault="008A03E9" w:rsidP="008A03E9">
      <w:pPr>
        <w:pStyle w:val="PargrafodaLista2"/>
        <w:spacing w:after="0" w:line="240" w:lineRule="auto"/>
        <w:ind w:left="0"/>
      </w:pPr>
      <w:r>
        <w:t xml:space="preserve"> </w:t>
      </w:r>
      <w:r>
        <w:rPr>
          <w:noProof/>
          <w:lang w:val="en-US"/>
        </w:rPr>
        <w:drawing>
          <wp:inline distT="0" distB="0" distL="0" distR="0">
            <wp:extent cx="4219575" cy="5229225"/>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srcRect/>
                    <a:stretch>
                      <a:fillRect/>
                    </a:stretch>
                  </pic:blipFill>
                  <pic:spPr bwMode="auto">
                    <a:xfrm>
                      <a:off x="0" y="0"/>
                      <a:ext cx="4219575" cy="5229225"/>
                    </a:xfrm>
                    <a:prstGeom prst="rect">
                      <a:avLst/>
                    </a:prstGeom>
                    <a:solidFill>
                      <a:srgbClr val="FFFFFF"/>
                    </a:solidFill>
                    <a:ln w="9525">
                      <a:noFill/>
                      <a:miter lim="800000"/>
                      <a:headEnd/>
                      <a:tailEnd/>
                    </a:ln>
                  </pic:spPr>
                </pic:pic>
              </a:graphicData>
            </a:graphic>
          </wp:inline>
        </w:drawing>
      </w:r>
    </w:p>
    <w:p w:rsidR="008A03E9" w:rsidRPr="003E5702" w:rsidRDefault="00461424" w:rsidP="00461424">
      <w:pPr>
        <w:spacing w:after="120" w:line="240" w:lineRule="auto"/>
        <w:jc w:val="both"/>
        <w:rPr>
          <w:sz w:val="18"/>
          <w:szCs w:val="18"/>
        </w:rPr>
      </w:pPr>
      <w:r>
        <w:rPr>
          <w:sz w:val="18"/>
          <w:szCs w:val="18"/>
        </w:rPr>
        <w:t>X</w:t>
      </w:r>
      <w:r w:rsidR="008A03E9" w:rsidRPr="003E5702">
        <w:rPr>
          <w:sz w:val="18"/>
          <w:szCs w:val="18"/>
        </w:rPr>
        <w:t xml:space="preserve">*CMAPb – </w:t>
      </w:r>
      <w:r>
        <w:rPr>
          <w:sz w:val="18"/>
          <w:szCs w:val="18"/>
        </w:rPr>
        <w:t xml:space="preserve">doses de Pb equivalentes a uma e cinco vezes a </w:t>
      </w:r>
      <w:r w:rsidR="008A03E9" w:rsidRPr="003E5702">
        <w:rPr>
          <w:sz w:val="18"/>
          <w:szCs w:val="18"/>
        </w:rPr>
        <w:t>capacidade máxima de adsorção de Pb.</w:t>
      </w:r>
    </w:p>
    <w:p w:rsidR="008A03E9" w:rsidRPr="00993388" w:rsidRDefault="008A03E9" w:rsidP="008A03E9">
      <w:pPr>
        <w:spacing w:after="0" w:line="360" w:lineRule="auto"/>
        <w:ind w:firstLine="709"/>
        <w:jc w:val="both"/>
        <w:rPr>
          <w:sz w:val="24"/>
        </w:rPr>
      </w:pPr>
    </w:p>
    <w:p w:rsidR="008A03E9" w:rsidRPr="00993388" w:rsidRDefault="008A03E9" w:rsidP="008A03E9">
      <w:pPr>
        <w:spacing w:after="0" w:line="360" w:lineRule="auto"/>
        <w:ind w:firstLine="709"/>
        <w:jc w:val="both"/>
        <w:rPr>
          <w:sz w:val="24"/>
        </w:rPr>
      </w:pPr>
      <w:r w:rsidRPr="00993388">
        <w:rPr>
          <w:sz w:val="24"/>
        </w:rPr>
        <w:t xml:space="preserve">Para cada solo (48 </w:t>
      </w:r>
      <w:r>
        <w:rPr>
          <w:sz w:val="24"/>
        </w:rPr>
        <w:t>recipientes</w:t>
      </w:r>
      <w:r w:rsidRPr="00993388">
        <w:rPr>
          <w:sz w:val="24"/>
        </w:rPr>
        <w:t xml:space="preserve"> plásticos), 24 unidades experimentais receberam fonte de corretivo calcário em dose necessária para elevar o pH em água para 7,0, obtida através da curva de elevação de pH para esses solos, por meio de ensaio de incubação com doses crescentes de CaCO</w:t>
      </w:r>
      <w:r w:rsidRPr="00993388">
        <w:rPr>
          <w:kern w:val="24"/>
          <w:sz w:val="24"/>
          <w:vertAlign w:val="subscript"/>
        </w:rPr>
        <w:t>3</w:t>
      </w:r>
      <w:r w:rsidRPr="00993388">
        <w:rPr>
          <w:sz w:val="24"/>
        </w:rPr>
        <w:t>. O corretivo foi aplicado 30 dias antes da incubação com Pb. Durante todo o experimento a umidade do solo foi mantida à 90 % da capacidade de campo (CC).</w:t>
      </w:r>
    </w:p>
    <w:p w:rsidR="008A03E9" w:rsidRPr="00993388" w:rsidRDefault="008A03E9" w:rsidP="008A03E9">
      <w:pPr>
        <w:spacing w:after="0" w:line="360" w:lineRule="auto"/>
        <w:ind w:firstLine="709"/>
        <w:jc w:val="both"/>
        <w:rPr>
          <w:sz w:val="24"/>
        </w:rPr>
      </w:pPr>
      <w:r w:rsidRPr="00993388">
        <w:rPr>
          <w:sz w:val="24"/>
        </w:rPr>
        <w:t>As duas doses de Pb, aplicadas na forma de Pb(NO</w:t>
      </w:r>
      <w:r w:rsidRPr="00993388">
        <w:rPr>
          <w:sz w:val="24"/>
          <w:vertAlign w:val="subscript"/>
        </w:rPr>
        <w:t>3</w:t>
      </w:r>
      <w:r w:rsidRPr="00993388">
        <w:rPr>
          <w:sz w:val="24"/>
        </w:rPr>
        <w:t>)</w:t>
      </w:r>
      <w:r w:rsidRPr="00993388">
        <w:rPr>
          <w:sz w:val="24"/>
          <w:vertAlign w:val="subscript"/>
        </w:rPr>
        <w:t>2</w:t>
      </w:r>
      <w:r w:rsidRPr="00993388">
        <w:rPr>
          <w:sz w:val="24"/>
        </w:rPr>
        <w:t xml:space="preserve">, foram definidas em função da determinação prévia da capacidade máxima de adsorção de Pb </w:t>
      </w:r>
      <w:r>
        <w:rPr>
          <w:sz w:val="24"/>
        </w:rPr>
        <w:t>(</w:t>
      </w:r>
      <w:r w:rsidRPr="00993388">
        <w:rPr>
          <w:sz w:val="24"/>
        </w:rPr>
        <w:t>CMAPb</w:t>
      </w:r>
      <w:r>
        <w:rPr>
          <w:sz w:val="24"/>
        </w:rPr>
        <w:t>)</w:t>
      </w:r>
      <w:r w:rsidRPr="00993388">
        <w:rPr>
          <w:sz w:val="24"/>
        </w:rPr>
        <w:t xml:space="preserve">: dose equivalente a 1 </w:t>
      </w:r>
      <w:r>
        <w:rPr>
          <w:sz w:val="24"/>
        </w:rPr>
        <w:t xml:space="preserve">vez a </w:t>
      </w:r>
      <w:r w:rsidRPr="00993388">
        <w:rPr>
          <w:sz w:val="24"/>
        </w:rPr>
        <w:t>CMAPb</w:t>
      </w:r>
      <w:r>
        <w:rPr>
          <w:sz w:val="24"/>
        </w:rPr>
        <w:t xml:space="preserve"> (1 x CMAPb) e cinco vezs a CMAPb (</w:t>
      </w:r>
      <w:r w:rsidRPr="00993388">
        <w:rPr>
          <w:sz w:val="24"/>
        </w:rPr>
        <w:t>5 x CMAPb) (Tabela 3).</w:t>
      </w:r>
    </w:p>
    <w:p w:rsidR="008A03E9" w:rsidRPr="00993388" w:rsidRDefault="008A03E9" w:rsidP="008A03E9">
      <w:pPr>
        <w:spacing w:after="0" w:line="360" w:lineRule="auto"/>
        <w:ind w:firstLine="709"/>
        <w:jc w:val="both"/>
        <w:rPr>
          <w:sz w:val="24"/>
        </w:rPr>
      </w:pPr>
    </w:p>
    <w:p w:rsidR="008A03E9" w:rsidRDefault="008A03E9" w:rsidP="008A03E9">
      <w:pPr>
        <w:pStyle w:val="PargrafodaLista2"/>
        <w:spacing w:after="0" w:line="240" w:lineRule="auto"/>
        <w:ind w:left="0"/>
        <w:jc w:val="both"/>
      </w:pPr>
      <w:r w:rsidRPr="001D1FB8">
        <w:rPr>
          <w:b/>
        </w:rPr>
        <w:lastRenderedPageBreak/>
        <w:t>Tabela 3.</w:t>
      </w:r>
      <w:r w:rsidRPr="00993388">
        <w:t xml:space="preserve"> Doses aplicadas de Pb, P e Cl no horizonte A dos solos LV (Latossolo Vermelho derivado de arenito) e NV (Nitossolo Vermelho derivado de basalto).</w:t>
      </w:r>
    </w:p>
    <w:p w:rsidR="008A03E9" w:rsidRPr="00993388" w:rsidRDefault="008A03E9" w:rsidP="008A03E9">
      <w:pPr>
        <w:pStyle w:val="PargrafodaLista2"/>
        <w:spacing w:after="0" w:line="240" w:lineRule="auto"/>
        <w:ind w:left="0"/>
        <w:jc w:val="both"/>
      </w:pPr>
      <w:r>
        <w:object w:dxaOrig="13103" w:dyaOrig="2099">
          <v:shape id="_x0000_i1026" type="#_x0000_t75" style="width:455.25pt;height:81.75pt" o:ole="">
            <v:imagedata r:id="rId10" o:title=""/>
          </v:shape>
          <o:OLEObject Type="Embed" ProgID="Excel.Sheet.12" ShapeID="_x0000_i1026" DrawAspect="Content" ObjectID="_1555667997" r:id="rId11"/>
        </w:object>
      </w:r>
      <w:r w:rsidRPr="003E5702">
        <w:rPr>
          <w:sz w:val="18"/>
          <w:szCs w:val="18"/>
          <w:vertAlign w:val="superscript"/>
        </w:rPr>
        <w:t xml:space="preserve"> (1) </w:t>
      </w:r>
      <w:r w:rsidRPr="003E5702">
        <w:rPr>
          <w:sz w:val="18"/>
          <w:szCs w:val="18"/>
        </w:rPr>
        <w:t>As doses de P seguiram a proporção molar de P:Pb de: Dose 1= 3:5; Dose 2= 4,5:5; Dose 3= 6:5; Dose 4= 12:5.</w:t>
      </w:r>
    </w:p>
    <w:p w:rsidR="008A03E9" w:rsidRPr="00993388" w:rsidRDefault="008A03E9" w:rsidP="008A03E9">
      <w:pPr>
        <w:spacing w:after="0" w:line="360" w:lineRule="auto"/>
        <w:ind w:firstLine="709"/>
        <w:jc w:val="both"/>
        <w:rPr>
          <w:sz w:val="24"/>
        </w:rPr>
      </w:pPr>
    </w:p>
    <w:p w:rsidR="008A03E9" w:rsidRPr="00993388" w:rsidRDefault="008A03E9" w:rsidP="008A03E9">
      <w:pPr>
        <w:spacing w:after="0" w:line="360" w:lineRule="auto"/>
        <w:ind w:firstLine="709"/>
        <w:jc w:val="both"/>
        <w:rPr>
          <w:sz w:val="24"/>
        </w:rPr>
      </w:pPr>
      <w:r w:rsidRPr="00993388">
        <w:rPr>
          <w:sz w:val="24"/>
        </w:rPr>
        <w:t xml:space="preserve">Após 30 dias de incubação com as doses de Pb foram retiradas 120 g de amostra para determinações </w:t>
      </w:r>
      <w:r>
        <w:rPr>
          <w:sz w:val="24"/>
        </w:rPr>
        <w:t xml:space="preserve">químicas </w:t>
      </w:r>
      <w:r w:rsidRPr="00993388">
        <w:rPr>
          <w:sz w:val="24"/>
        </w:rPr>
        <w:t>e procedeu-se a aplicação de quatro doses de P e uma de Cl, respeitando minimamente a relação molar da cloropiromorfita (Pb</w:t>
      </w:r>
      <w:r w:rsidRPr="00993388">
        <w:rPr>
          <w:sz w:val="24"/>
          <w:vertAlign w:val="subscript"/>
        </w:rPr>
        <w:t>5</w:t>
      </w:r>
      <w:r w:rsidRPr="00993388">
        <w:rPr>
          <w:sz w:val="24"/>
        </w:rPr>
        <w:t>(PO</w:t>
      </w:r>
      <w:r w:rsidRPr="00993388">
        <w:rPr>
          <w:sz w:val="24"/>
          <w:vertAlign w:val="subscript"/>
        </w:rPr>
        <w:t>4</w:t>
      </w:r>
      <w:r w:rsidRPr="00993388">
        <w:rPr>
          <w:sz w:val="24"/>
        </w:rPr>
        <w:t>)</w:t>
      </w:r>
      <w:r w:rsidRPr="00993388">
        <w:rPr>
          <w:sz w:val="24"/>
          <w:vertAlign w:val="subscript"/>
        </w:rPr>
        <w:t>3</w:t>
      </w:r>
      <w:r w:rsidRPr="00993388">
        <w:rPr>
          <w:sz w:val="24"/>
        </w:rPr>
        <w:t>Cl)</w:t>
      </w:r>
      <w:r>
        <w:rPr>
          <w:sz w:val="24"/>
        </w:rPr>
        <w:t xml:space="preserve"> </w:t>
      </w:r>
      <w:r w:rsidRPr="00993388">
        <w:rPr>
          <w:sz w:val="24"/>
        </w:rPr>
        <w:t>(Lindsay, 1979). As doses seguiram a relação molar de P:Pb:Cl de 3:5:1 (relação real da cloropiromorfita); 4,5:5:1; 6:5:1; e 12:5:1, na forma de KH</w:t>
      </w:r>
      <w:r w:rsidRPr="00993388">
        <w:rPr>
          <w:sz w:val="24"/>
          <w:vertAlign w:val="subscript"/>
        </w:rPr>
        <w:t>2</w:t>
      </w:r>
      <w:r w:rsidRPr="00993388">
        <w:rPr>
          <w:sz w:val="24"/>
        </w:rPr>
        <w:t>PO</w:t>
      </w:r>
      <w:r w:rsidRPr="00993388">
        <w:rPr>
          <w:sz w:val="24"/>
          <w:vertAlign w:val="subscript"/>
        </w:rPr>
        <w:t>4</w:t>
      </w:r>
      <w:r w:rsidRPr="00993388">
        <w:rPr>
          <w:sz w:val="24"/>
        </w:rPr>
        <w:t xml:space="preserve"> e NaCl</w:t>
      </w:r>
      <w:r>
        <w:rPr>
          <w:sz w:val="24"/>
        </w:rPr>
        <w:t xml:space="preserve"> dissolvidas em solução</w:t>
      </w:r>
      <w:r w:rsidRPr="00993388">
        <w:rPr>
          <w:sz w:val="24"/>
        </w:rPr>
        <w:t>, respectivamente (Tabela 3). O aumento das doses de P visou favorecer a formação da cloropiromorfita.</w:t>
      </w:r>
    </w:p>
    <w:p w:rsidR="008A03E9" w:rsidRPr="00993388" w:rsidRDefault="008A03E9" w:rsidP="008A03E9">
      <w:pPr>
        <w:spacing w:after="0" w:line="360" w:lineRule="auto"/>
        <w:ind w:firstLine="709"/>
        <w:jc w:val="both"/>
        <w:rPr>
          <w:sz w:val="24"/>
        </w:rPr>
      </w:pPr>
      <w:r w:rsidRPr="00993388">
        <w:rPr>
          <w:sz w:val="24"/>
        </w:rPr>
        <w:t>Aos 60 e 311 dias após a adição de Pb (30 e 281 dias após a adição de P) foram realizadas novas retiradas de 120 g de solo de cada unidade experimental para avaliações químicas.</w:t>
      </w:r>
    </w:p>
    <w:p w:rsidR="00CE36B9" w:rsidRPr="00CE36B9" w:rsidRDefault="00CE36B9" w:rsidP="00667271">
      <w:pPr>
        <w:pStyle w:val="Subttulo"/>
        <w:spacing w:after="0" w:line="360" w:lineRule="auto"/>
        <w:jc w:val="left"/>
        <w:rPr>
          <w:b/>
        </w:rPr>
      </w:pPr>
      <w:r w:rsidRPr="00CE36B9">
        <w:rPr>
          <w:rFonts w:ascii="Times New Roman" w:hAnsi="Times New Roman"/>
          <w:b/>
        </w:rPr>
        <w:t>2.2.3. Extração e Análise da Solução do Solo</w:t>
      </w:r>
      <w:bookmarkEnd w:id="11"/>
    </w:p>
    <w:p w:rsidR="00CE36B9" w:rsidRPr="00CE36B9" w:rsidRDefault="003618ED" w:rsidP="00667271">
      <w:pPr>
        <w:spacing w:after="0" w:line="360" w:lineRule="auto"/>
        <w:ind w:firstLine="709"/>
        <w:jc w:val="both"/>
        <w:rPr>
          <w:sz w:val="24"/>
        </w:rPr>
      </w:pPr>
      <w:r>
        <w:rPr>
          <w:sz w:val="24"/>
        </w:rPr>
        <w:t>F</w:t>
      </w:r>
      <w:r w:rsidR="00CE36B9" w:rsidRPr="00CE36B9">
        <w:rPr>
          <w:sz w:val="24"/>
        </w:rPr>
        <w:t>oi realizada a extração da solução de equilíbrio dos solos utilizando-se o método da pasta saturada (EMBRAPA, 2011). As concentrações de Al, Ba, Ca, Co, Cu, Fe, K, Mg, Mn, P, Pb, Si, e Zn foram determinadas por meio de Espectroscopia de Emissão Óptica com Plasma Induzido (ICP-OES). O íon Cl</w:t>
      </w:r>
      <w:r w:rsidR="00CE36B9" w:rsidRPr="00CE36B9">
        <w:rPr>
          <w:sz w:val="24"/>
          <w:vertAlign w:val="superscript"/>
        </w:rPr>
        <w:t>-</w:t>
      </w:r>
      <w:r w:rsidR="00CE36B9" w:rsidRPr="00CE36B9">
        <w:rPr>
          <w:sz w:val="24"/>
        </w:rPr>
        <w:t xml:space="preserve"> foi determinado por </w:t>
      </w:r>
      <w:r w:rsidR="00CE36B9" w:rsidRPr="00CA6A83">
        <w:rPr>
          <w:sz w:val="24"/>
        </w:rPr>
        <w:t>cromatografia iônica</w:t>
      </w:r>
      <w:r w:rsidR="00CA6A83">
        <w:rPr>
          <w:sz w:val="24"/>
        </w:rPr>
        <w:t xml:space="preserve"> </w:t>
      </w:r>
      <w:r w:rsidR="00A25F07">
        <w:rPr>
          <w:sz w:val="24"/>
        </w:rPr>
        <w:t>pelo método 300 (USEPA,</w:t>
      </w:r>
      <w:r w:rsidR="00CA6A83">
        <w:rPr>
          <w:sz w:val="24"/>
        </w:rPr>
        <w:t xml:space="preserve"> 1993)</w:t>
      </w:r>
      <w:r w:rsidR="00CE36B9" w:rsidRPr="00CE36B9">
        <w:rPr>
          <w:sz w:val="24"/>
        </w:rPr>
        <w:t>. Este</w:t>
      </w:r>
      <w:r>
        <w:rPr>
          <w:sz w:val="24"/>
        </w:rPr>
        <w:t>s</w:t>
      </w:r>
      <w:r w:rsidR="00CE36B9" w:rsidRPr="00CE36B9">
        <w:rPr>
          <w:sz w:val="24"/>
        </w:rPr>
        <w:t xml:space="preserve"> procedimento</w:t>
      </w:r>
      <w:r>
        <w:rPr>
          <w:sz w:val="24"/>
        </w:rPr>
        <w:t>s</w:t>
      </w:r>
      <w:r w:rsidR="00CE36B9" w:rsidRPr="00CE36B9">
        <w:rPr>
          <w:sz w:val="24"/>
        </w:rPr>
        <w:t xml:space="preserve"> foi realizado aos 30, 60 e 311 dias de incubação </w:t>
      </w:r>
      <w:r>
        <w:rPr>
          <w:sz w:val="24"/>
        </w:rPr>
        <w:t>com Pb</w:t>
      </w:r>
      <w:r w:rsidR="00CE36B9" w:rsidRPr="00CE36B9">
        <w:rPr>
          <w:sz w:val="24"/>
        </w:rPr>
        <w:t>.</w:t>
      </w:r>
    </w:p>
    <w:p w:rsidR="00CE36B9" w:rsidRPr="00CE36B9" w:rsidRDefault="00CE36B9" w:rsidP="00667271">
      <w:pPr>
        <w:spacing w:after="0" w:line="360" w:lineRule="auto"/>
        <w:ind w:firstLine="709"/>
        <w:jc w:val="both"/>
        <w:rPr>
          <w:sz w:val="24"/>
        </w:rPr>
      </w:pPr>
    </w:p>
    <w:p w:rsidR="00CE36B9" w:rsidRPr="00CE36B9" w:rsidRDefault="00CE36B9" w:rsidP="00667271">
      <w:pPr>
        <w:pStyle w:val="Subttulo"/>
        <w:spacing w:after="0" w:line="360" w:lineRule="auto"/>
        <w:jc w:val="left"/>
        <w:rPr>
          <w:b/>
        </w:rPr>
      </w:pPr>
      <w:bookmarkStart w:id="13" w:name="_Toc443247125"/>
      <w:r w:rsidRPr="00CE36B9">
        <w:rPr>
          <w:rFonts w:ascii="Times New Roman" w:hAnsi="Times New Roman"/>
          <w:b/>
        </w:rPr>
        <w:t>2.2.5. Especiação Química da Solução do Solo</w:t>
      </w:r>
      <w:bookmarkEnd w:id="12"/>
      <w:r w:rsidRPr="00CE36B9">
        <w:rPr>
          <w:rFonts w:ascii="Times New Roman" w:hAnsi="Times New Roman"/>
          <w:b/>
        </w:rPr>
        <w:t xml:space="preserve"> e Constante de Equilíbrio</w:t>
      </w:r>
      <w:bookmarkEnd w:id="13"/>
    </w:p>
    <w:p w:rsidR="00CE36B9" w:rsidRPr="00CE36B9" w:rsidRDefault="00CE36B9" w:rsidP="00667271">
      <w:pPr>
        <w:spacing w:after="0" w:line="360" w:lineRule="auto"/>
        <w:ind w:firstLine="709"/>
        <w:jc w:val="both"/>
        <w:rPr>
          <w:sz w:val="24"/>
        </w:rPr>
      </w:pPr>
      <w:r w:rsidRPr="00CE36B9">
        <w:rPr>
          <w:sz w:val="24"/>
        </w:rPr>
        <w:t>As concentrações de Al, Ba, Ca, Co, Cu, Fe, K, Mg, Mn, P, Pb, Si, Zn e Cl, juntamente com os dados de pH e temperatura, foram inseridos no software de especiação química Visual MINTEQ. Foram obtidas a distribuição das espécies químicas e a constante de equilíbrio das amostras (log de K°) da solução de equilíbrio dos solos.</w:t>
      </w:r>
    </w:p>
    <w:p w:rsidR="00CE36B9" w:rsidRPr="00CE36B9" w:rsidRDefault="00CE36B9" w:rsidP="00667271">
      <w:pPr>
        <w:spacing w:after="0" w:line="360" w:lineRule="auto"/>
        <w:ind w:firstLine="709"/>
        <w:jc w:val="both"/>
        <w:rPr>
          <w:sz w:val="24"/>
        </w:rPr>
      </w:pPr>
      <w:r w:rsidRPr="00CE36B9">
        <w:rPr>
          <w:sz w:val="24"/>
        </w:rPr>
        <w:t>Os gráficos de superfície de resposta e campo de estabilidade mineral foram elaborados no software Sigma Plot 10.0 utilizando os dados de pH e do log de K° dos íons Pb</w:t>
      </w:r>
      <w:r w:rsidRPr="00CE36B9">
        <w:rPr>
          <w:sz w:val="24"/>
          <w:vertAlign w:val="superscript"/>
        </w:rPr>
        <w:t>2+</w:t>
      </w:r>
      <w:r w:rsidRPr="00CE36B9">
        <w:rPr>
          <w:sz w:val="24"/>
        </w:rPr>
        <w:t xml:space="preserve"> e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obtidos no Visual MINTEQ, utilizando os dados das reações de equilíbrio químico da cloropiromorfita (Pb</w:t>
      </w:r>
      <w:r w:rsidRPr="00CE36B9">
        <w:rPr>
          <w:sz w:val="24"/>
          <w:vertAlign w:val="subscript"/>
        </w:rPr>
        <w:t>5</w:t>
      </w:r>
      <w:r w:rsidRPr="00CE36B9">
        <w:rPr>
          <w:sz w:val="24"/>
        </w:rPr>
        <w:t>(PO</w:t>
      </w:r>
      <w:r w:rsidRPr="00CE36B9">
        <w:rPr>
          <w:sz w:val="24"/>
          <w:vertAlign w:val="subscript"/>
        </w:rPr>
        <w:t>4</w:t>
      </w:r>
      <w:r w:rsidRPr="00CE36B9">
        <w:rPr>
          <w:sz w:val="24"/>
        </w:rPr>
        <w:t>)</w:t>
      </w:r>
      <w:r w:rsidRPr="00CE36B9">
        <w:rPr>
          <w:sz w:val="24"/>
          <w:vertAlign w:val="subscript"/>
        </w:rPr>
        <w:t>3</w:t>
      </w:r>
      <w:r w:rsidRPr="00CE36B9">
        <w:rPr>
          <w:sz w:val="24"/>
        </w:rPr>
        <w:t>Cl) (Lindsay, 1979).</w:t>
      </w:r>
    </w:p>
    <w:p w:rsidR="00CE36B9" w:rsidRPr="00CE36B9" w:rsidRDefault="00CE36B9" w:rsidP="00667271">
      <w:pPr>
        <w:spacing w:after="0" w:line="360" w:lineRule="auto"/>
        <w:ind w:firstLine="709"/>
        <w:jc w:val="both"/>
        <w:rPr>
          <w:sz w:val="24"/>
        </w:rPr>
      </w:pPr>
    </w:p>
    <w:p w:rsidR="00CE36B9" w:rsidRPr="00CE36B9" w:rsidRDefault="00CE36B9" w:rsidP="00667271">
      <w:pPr>
        <w:spacing w:after="0" w:line="360" w:lineRule="auto"/>
        <w:jc w:val="both"/>
        <w:rPr>
          <w:b/>
          <w:color w:val="000000"/>
          <w:sz w:val="24"/>
        </w:rPr>
      </w:pPr>
      <w:r w:rsidRPr="00CE36B9">
        <w:rPr>
          <w:b/>
          <w:sz w:val="24"/>
        </w:rPr>
        <w:lastRenderedPageBreak/>
        <w:t>2.2.6. Análises Estatísticas</w:t>
      </w:r>
    </w:p>
    <w:p w:rsidR="00CE36B9" w:rsidRPr="00CE36B9" w:rsidRDefault="00CE36B9" w:rsidP="00667271">
      <w:pPr>
        <w:spacing w:after="0" w:line="360" w:lineRule="auto"/>
        <w:ind w:firstLine="709"/>
        <w:jc w:val="both"/>
        <w:rPr>
          <w:sz w:val="24"/>
        </w:rPr>
      </w:pPr>
      <w:r w:rsidRPr="00CE36B9">
        <w:rPr>
          <w:color w:val="000000"/>
          <w:sz w:val="24"/>
        </w:rPr>
        <w:t xml:space="preserve">Os dados de concentração dos íons avaliados na solução de equilíbrio </w:t>
      </w:r>
      <w:r w:rsidRPr="00CE36B9">
        <w:rPr>
          <w:sz w:val="24"/>
        </w:rPr>
        <w:t>foram analisados pelo programa ASSISTAT Versão 7.5 beta (2010), fazendo-se a análise de homogeneidade através do teste de Bartlett, análise de variância e análise de regressão.</w:t>
      </w:r>
    </w:p>
    <w:p w:rsidR="00CE36B9" w:rsidRPr="00CE36B9" w:rsidRDefault="00CE36B9" w:rsidP="00667271">
      <w:pPr>
        <w:tabs>
          <w:tab w:val="left" w:pos="5682"/>
        </w:tabs>
        <w:spacing w:after="0" w:line="360" w:lineRule="auto"/>
        <w:ind w:firstLine="709"/>
        <w:jc w:val="both"/>
        <w:rPr>
          <w:sz w:val="24"/>
        </w:rPr>
      </w:pPr>
    </w:p>
    <w:p w:rsidR="00222900" w:rsidRDefault="00222900" w:rsidP="00222900">
      <w:pPr>
        <w:pStyle w:val="Ttulo2"/>
        <w:spacing w:before="0" w:after="0" w:line="360" w:lineRule="auto"/>
        <w:rPr>
          <w:sz w:val="24"/>
        </w:rPr>
      </w:pPr>
      <w:bookmarkStart w:id="14" w:name="_Toc443247126"/>
      <w:r w:rsidRPr="00BD5606">
        <w:rPr>
          <w:sz w:val="24"/>
        </w:rPr>
        <w:t>2.3. RESULTADOS E DISCUSSÃO</w:t>
      </w:r>
      <w:bookmarkEnd w:id="14"/>
    </w:p>
    <w:p w:rsidR="00F61618" w:rsidRPr="00CE36B9" w:rsidRDefault="00F61618" w:rsidP="00F61618">
      <w:pPr>
        <w:spacing w:after="0" w:line="360" w:lineRule="auto"/>
        <w:ind w:firstLine="709"/>
        <w:jc w:val="both"/>
        <w:rPr>
          <w:sz w:val="24"/>
        </w:rPr>
      </w:pPr>
      <w:r w:rsidRPr="00CE36B9">
        <w:rPr>
          <w:sz w:val="24"/>
        </w:rPr>
        <w:t>A</w:t>
      </w:r>
      <w:r>
        <w:rPr>
          <w:sz w:val="24"/>
        </w:rPr>
        <w:t>s</w:t>
      </w:r>
      <w:r w:rsidRPr="00CE36B9">
        <w:rPr>
          <w:sz w:val="24"/>
        </w:rPr>
        <w:t xml:space="preserve"> avaliaç</w:t>
      </w:r>
      <w:r>
        <w:rPr>
          <w:sz w:val="24"/>
        </w:rPr>
        <w:t>ões</w:t>
      </w:r>
      <w:r w:rsidRPr="00CE36B9">
        <w:rPr>
          <w:sz w:val="24"/>
        </w:rPr>
        <w:t xml:space="preserve"> da solução de equilíbrio </w:t>
      </w:r>
      <w:r>
        <w:rPr>
          <w:sz w:val="24"/>
        </w:rPr>
        <w:t xml:space="preserve">do solo </w:t>
      </w:r>
      <w:r w:rsidRPr="00CE36B9">
        <w:rPr>
          <w:sz w:val="24"/>
        </w:rPr>
        <w:t>foi realizada durante os 30, 60 e 311 dias de incubação com Pb. Esses mesmos tempos de incubação equivalem a zero, 30 e 281 dias de incubação com P, respectivamente, uma vez que nos 30 dias iniciais houve incubação apenas com Pb.</w:t>
      </w:r>
    </w:p>
    <w:p w:rsidR="00CE36B9" w:rsidRPr="00382FE0" w:rsidRDefault="00CE36B9" w:rsidP="00667271">
      <w:pPr>
        <w:pStyle w:val="Subttulo"/>
        <w:spacing w:after="0" w:line="360" w:lineRule="auto"/>
        <w:jc w:val="left"/>
        <w:rPr>
          <w:i/>
        </w:rPr>
      </w:pPr>
      <w:bookmarkStart w:id="15" w:name="_Toc443247127"/>
      <w:r w:rsidRPr="00382FE0">
        <w:rPr>
          <w:rStyle w:val="TtulodoLivro"/>
          <w:rFonts w:ascii="Times New Roman" w:hAnsi="Times New Roman"/>
          <w:i w:val="0"/>
          <w:spacing w:val="0"/>
        </w:rPr>
        <w:t xml:space="preserve">2.3.1. Especiação Química de Pb e P na Solução </w:t>
      </w:r>
      <w:r w:rsidR="00F61618">
        <w:rPr>
          <w:rStyle w:val="TtulodoLivro"/>
          <w:rFonts w:ascii="Times New Roman" w:hAnsi="Times New Roman"/>
          <w:i w:val="0"/>
          <w:spacing w:val="0"/>
        </w:rPr>
        <w:t xml:space="preserve">do </w:t>
      </w:r>
      <w:r w:rsidRPr="00382FE0">
        <w:rPr>
          <w:rStyle w:val="TtulodoLivro"/>
          <w:rFonts w:ascii="Times New Roman" w:hAnsi="Times New Roman"/>
          <w:i w:val="0"/>
          <w:spacing w:val="0"/>
        </w:rPr>
        <w:t>Solo</w:t>
      </w:r>
      <w:bookmarkEnd w:id="15"/>
    </w:p>
    <w:p w:rsidR="00CE36B9" w:rsidRPr="00CE36B9" w:rsidRDefault="00CE36B9" w:rsidP="00667271">
      <w:pPr>
        <w:spacing w:after="0" w:line="360" w:lineRule="auto"/>
        <w:ind w:firstLine="709"/>
        <w:jc w:val="both"/>
        <w:rPr>
          <w:sz w:val="24"/>
        </w:rPr>
      </w:pPr>
      <w:r w:rsidRPr="00CE36B9">
        <w:rPr>
          <w:sz w:val="24"/>
        </w:rPr>
        <w:t xml:space="preserve">As espécies de Pb encontradas </w:t>
      </w:r>
      <w:r w:rsidR="00EF5884">
        <w:rPr>
          <w:sz w:val="24"/>
        </w:rPr>
        <w:t xml:space="preserve">na solução </w:t>
      </w:r>
      <w:r w:rsidRPr="00CE36B9">
        <w:rPr>
          <w:sz w:val="24"/>
        </w:rPr>
        <w:t>dividiram-se em forma livre (Pb</w:t>
      </w:r>
      <w:r w:rsidRPr="00CE36B9">
        <w:rPr>
          <w:sz w:val="24"/>
          <w:vertAlign w:val="superscript"/>
        </w:rPr>
        <w:t>2+</w:t>
      </w:r>
      <w:r w:rsidRPr="00CE36B9">
        <w:rPr>
          <w:sz w:val="24"/>
        </w:rPr>
        <w:t>)</w:t>
      </w:r>
      <w:r w:rsidR="00EF5884">
        <w:rPr>
          <w:sz w:val="24"/>
        </w:rPr>
        <w:t>,</w:t>
      </w:r>
      <w:r w:rsidRPr="00CE36B9">
        <w:rPr>
          <w:sz w:val="24"/>
        </w:rPr>
        <w:t xml:space="preserve"> forma livre hidrolisada (PbOH</w:t>
      </w:r>
      <w:r w:rsidRPr="00CE36B9">
        <w:rPr>
          <w:sz w:val="24"/>
          <w:vertAlign w:val="superscript"/>
        </w:rPr>
        <w:t>+</w:t>
      </w:r>
      <w:r w:rsidRPr="00CE36B9">
        <w:rPr>
          <w:sz w:val="24"/>
        </w:rPr>
        <w:t>)</w:t>
      </w:r>
      <w:r w:rsidR="00EF5884">
        <w:rPr>
          <w:sz w:val="24"/>
        </w:rPr>
        <w:t>,</w:t>
      </w:r>
      <w:r w:rsidRPr="00CE36B9">
        <w:rPr>
          <w:sz w:val="24"/>
        </w:rPr>
        <w:t xml:space="preserve"> complexada com cloreto em duas formas (PbCl</w:t>
      </w:r>
      <w:r w:rsidRPr="00CE36B9">
        <w:rPr>
          <w:sz w:val="24"/>
          <w:vertAlign w:val="superscript"/>
        </w:rPr>
        <w:t>+</w:t>
      </w:r>
      <w:r w:rsidRPr="00CE36B9">
        <w:rPr>
          <w:sz w:val="24"/>
        </w:rPr>
        <w:t xml:space="preserve"> e PbCl</w:t>
      </w:r>
      <w:r w:rsidRPr="00CE36B9">
        <w:rPr>
          <w:sz w:val="24"/>
          <w:vertAlign w:val="subscript"/>
        </w:rPr>
        <w:t>2</w:t>
      </w:r>
      <w:r w:rsidRPr="00CE36B9">
        <w:rPr>
          <w:sz w:val="24"/>
        </w:rPr>
        <w:t>º) e complexada com fosfato em duas formas (PbH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e PbHPO</w:t>
      </w:r>
      <w:r w:rsidRPr="00CE36B9">
        <w:rPr>
          <w:sz w:val="24"/>
          <w:vertAlign w:val="subscript"/>
        </w:rPr>
        <w:t>4</w:t>
      </w:r>
      <w:r w:rsidRPr="00CE36B9">
        <w:rPr>
          <w:sz w:val="24"/>
        </w:rPr>
        <w:t>°). A forma livre de Pb predominou em todos os tratamentos em ambos os solos, com participação de 70 a 99 % no Pb</w:t>
      </w:r>
      <w:r w:rsidR="002554C4">
        <w:rPr>
          <w:sz w:val="24"/>
        </w:rPr>
        <w:t xml:space="preserve"> total (Pb</w:t>
      </w:r>
      <w:r w:rsidRPr="00CE36B9">
        <w:rPr>
          <w:sz w:val="24"/>
          <w:vertAlign w:val="subscript"/>
        </w:rPr>
        <w:t>t</w:t>
      </w:r>
      <w:r w:rsidR="002554C4">
        <w:rPr>
          <w:sz w:val="24"/>
        </w:rPr>
        <w:t xml:space="preserve">) </w:t>
      </w:r>
      <w:r w:rsidR="00B72E7F">
        <w:rPr>
          <w:sz w:val="24"/>
        </w:rPr>
        <w:t xml:space="preserve">aos 60 dias de incubação com Pb </w:t>
      </w:r>
      <w:r w:rsidRPr="00CE36B9">
        <w:rPr>
          <w:sz w:val="24"/>
        </w:rPr>
        <w:t xml:space="preserve">(Tabela 3). </w:t>
      </w:r>
      <w:r w:rsidR="002554C4">
        <w:rPr>
          <w:sz w:val="24"/>
        </w:rPr>
        <w:t xml:space="preserve">Houve </w:t>
      </w:r>
      <w:r w:rsidRPr="00CE36B9">
        <w:rPr>
          <w:sz w:val="24"/>
        </w:rPr>
        <w:t>aumento das espécies PbH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e PbHPO</w:t>
      </w:r>
      <w:r w:rsidRPr="00CE36B9">
        <w:rPr>
          <w:sz w:val="24"/>
          <w:vertAlign w:val="subscript"/>
        </w:rPr>
        <w:t>4</w:t>
      </w:r>
      <w:r w:rsidRPr="00CE36B9">
        <w:rPr>
          <w:sz w:val="24"/>
        </w:rPr>
        <w:t xml:space="preserve">° em função do aumento das doses de P aplicadas, em ambos os solos. </w:t>
      </w:r>
    </w:p>
    <w:p w:rsidR="00CE36B9" w:rsidRPr="00CE36B9" w:rsidRDefault="00CE36B9" w:rsidP="00667271">
      <w:pPr>
        <w:spacing w:after="0" w:line="360" w:lineRule="auto"/>
        <w:ind w:firstLine="709"/>
        <w:jc w:val="both"/>
        <w:rPr>
          <w:sz w:val="24"/>
        </w:rPr>
      </w:pPr>
      <w:r w:rsidRPr="00CE36B9">
        <w:rPr>
          <w:sz w:val="24"/>
        </w:rPr>
        <w:t xml:space="preserve">A baixa porcentagem de Pb formando complexos solúveis com fosfato </w:t>
      </w:r>
      <w:r w:rsidR="002554C4" w:rsidRPr="00CE36B9">
        <w:rPr>
          <w:sz w:val="24"/>
        </w:rPr>
        <w:t>(PbH</w:t>
      </w:r>
      <w:r w:rsidR="002554C4" w:rsidRPr="00CE36B9">
        <w:rPr>
          <w:sz w:val="24"/>
          <w:vertAlign w:val="subscript"/>
        </w:rPr>
        <w:t>2</w:t>
      </w:r>
      <w:r w:rsidR="002554C4" w:rsidRPr="00CE36B9">
        <w:rPr>
          <w:sz w:val="24"/>
        </w:rPr>
        <w:t>PO</w:t>
      </w:r>
      <w:r w:rsidR="002554C4" w:rsidRPr="00CE36B9">
        <w:rPr>
          <w:sz w:val="24"/>
          <w:vertAlign w:val="subscript"/>
        </w:rPr>
        <w:t>4</w:t>
      </w:r>
      <w:r w:rsidR="002554C4" w:rsidRPr="00CE36B9">
        <w:rPr>
          <w:sz w:val="24"/>
          <w:vertAlign w:val="superscript"/>
        </w:rPr>
        <w:t>+</w:t>
      </w:r>
      <w:r w:rsidR="002554C4" w:rsidRPr="00CE36B9">
        <w:rPr>
          <w:sz w:val="24"/>
        </w:rPr>
        <w:t xml:space="preserve"> e PbHPO</w:t>
      </w:r>
      <w:r w:rsidR="002554C4" w:rsidRPr="00CE36B9">
        <w:rPr>
          <w:sz w:val="24"/>
          <w:vertAlign w:val="subscript"/>
        </w:rPr>
        <w:t>4</w:t>
      </w:r>
      <w:r w:rsidR="002554C4" w:rsidRPr="00CE36B9">
        <w:rPr>
          <w:sz w:val="24"/>
        </w:rPr>
        <w:t>°)</w:t>
      </w:r>
      <w:r w:rsidR="002554C4">
        <w:rPr>
          <w:sz w:val="24"/>
        </w:rPr>
        <w:t xml:space="preserve"> </w:t>
      </w:r>
      <w:r w:rsidRPr="00CE36B9">
        <w:rPr>
          <w:sz w:val="24"/>
        </w:rPr>
        <w:t>pode estar associada à formação de precipitados estáveis na fase sólida, tais como a cloropiromorfita (Pb</w:t>
      </w:r>
      <w:r w:rsidRPr="00CE36B9">
        <w:rPr>
          <w:sz w:val="24"/>
          <w:vertAlign w:val="subscript"/>
        </w:rPr>
        <w:t>5</w:t>
      </w:r>
      <w:r w:rsidRPr="00CE36B9">
        <w:rPr>
          <w:sz w:val="24"/>
        </w:rPr>
        <w:t>(PO</w:t>
      </w:r>
      <w:r w:rsidRPr="00CE36B9">
        <w:rPr>
          <w:sz w:val="24"/>
          <w:vertAlign w:val="subscript"/>
        </w:rPr>
        <w:t>4</w:t>
      </w:r>
      <w:r w:rsidRPr="00CE36B9">
        <w:rPr>
          <w:sz w:val="24"/>
        </w:rPr>
        <w:t>)</w:t>
      </w:r>
      <w:r w:rsidRPr="00CE36B9">
        <w:rPr>
          <w:sz w:val="24"/>
          <w:vertAlign w:val="subscript"/>
        </w:rPr>
        <w:t>3</w:t>
      </w:r>
      <w:r w:rsidRPr="00CE36B9">
        <w:rPr>
          <w:sz w:val="24"/>
        </w:rPr>
        <w:t>Cl) (Lindsay, 1979</w:t>
      </w:r>
      <w:r w:rsidR="005C2DFF">
        <w:rPr>
          <w:sz w:val="24"/>
        </w:rPr>
        <w:t xml:space="preserve">; </w:t>
      </w:r>
      <w:r w:rsidR="005C2DFF" w:rsidRPr="005C2DFF">
        <w:rPr>
          <w:sz w:val="24"/>
          <w:highlight w:val="yellow"/>
        </w:rPr>
        <w:t>????</w:t>
      </w:r>
      <w:r w:rsidRPr="00CE36B9">
        <w:rPr>
          <w:sz w:val="24"/>
        </w:rPr>
        <w:t>), uma vez que a concentração de Pb</w:t>
      </w:r>
      <w:r w:rsidRPr="00CE36B9">
        <w:rPr>
          <w:sz w:val="24"/>
          <w:vertAlign w:val="subscript"/>
        </w:rPr>
        <w:t>t</w:t>
      </w:r>
      <w:r w:rsidRPr="00CE36B9">
        <w:rPr>
          <w:sz w:val="24"/>
        </w:rPr>
        <w:t xml:space="preserve"> mantido em solução foi muito baixa </w:t>
      </w:r>
      <w:r w:rsidR="00BD5606" w:rsidRPr="00BD5606">
        <w:rPr>
          <w:sz w:val="24"/>
          <w:highlight w:val="yellow"/>
        </w:rPr>
        <w:t>em relação ao Pb aplicado</w:t>
      </w:r>
      <w:r w:rsidR="00BD5606">
        <w:rPr>
          <w:sz w:val="24"/>
        </w:rPr>
        <w:t xml:space="preserve"> </w:t>
      </w:r>
      <w:r w:rsidRPr="00CE36B9">
        <w:rPr>
          <w:sz w:val="24"/>
        </w:rPr>
        <w:t>(Tabela 3).</w:t>
      </w:r>
    </w:p>
    <w:p w:rsidR="00CE36B9" w:rsidRPr="00CE36B9" w:rsidRDefault="00222900" w:rsidP="00F90138">
      <w:pPr>
        <w:spacing w:after="0" w:line="240" w:lineRule="auto"/>
        <w:jc w:val="both"/>
        <w:rPr>
          <w:sz w:val="24"/>
        </w:rPr>
      </w:pPr>
      <w:r>
        <w:rPr>
          <w:sz w:val="24"/>
        </w:rPr>
        <w:br w:type="page"/>
      </w:r>
      <w:r w:rsidR="00CE36B9" w:rsidRPr="00667271">
        <w:rPr>
          <w:b/>
          <w:sz w:val="24"/>
        </w:rPr>
        <w:lastRenderedPageBreak/>
        <w:t>Tabela 3.</w:t>
      </w:r>
      <w:r w:rsidR="00CE36B9" w:rsidRPr="00CE36B9">
        <w:rPr>
          <w:sz w:val="24"/>
        </w:rPr>
        <w:t xml:space="preserve"> Teor total de Pb (Pb</w:t>
      </w:r>
      <w:r w:rsidR="00CE36B9" w:rsidRPr="00CE36B9">
        <w:rPr>
          <w:sz w:val="24"/>
          <w:vertAlign w:val="subscript"/>
        </w:rPr>
        <w:t>t</w:t>
      </w:r>
      <w:r w:rsidR="00CE36B9" w:rsidRPr="00CE36B9">
        <w:rPr>
          <w:sz w:val="24"/>
        </w:rPr>
        <w:t>) e o percentual em relação ao total das suas principais espécies químicas na solução de equilíbrio de dois solos com textura contrastante</w:t>
      </w:r>
      <w:r w:rsidR="00EF5884">
        <w:rPr>
          <w:sz w:val="24"/>
        </w:rPr>
        <w:t xml:space="preserve"> </w:t>
      </w:r>
      <w:r w:rsidR="00CE36B9" w:rsidRPr="00CE36B9">
        <w:rPr>
          <w:sz w:val="24"/>
        </w:rPr>
        <w:t xml:space="preserve"> avaliada aos 60 dias</w:t>
      </w:r>
      <w:r w:rsidR="00EF5884">
        <w:rPr>
          <w:sz w:val="24"/>
        </w:rPr>
        <w:t xml:space="preserve"> de incubação com Pb (30 dias de incubação com P)</w:t>
      </w:r>
      <w:r w:rsidR="00CE36B9" w:rsidRPr="00CE36B9">
        <w:rPr>
          <w:sz w:val="24"/>
        </w:rPr>
        <w:t>.</w:t>
      </w:r>
    </w:p>
    <w:p w:rsidR="00CE36B9" w:rsidRPr="00CE36B9" w:rsidRDefault="00CE36B9" w:rsidP="00CE36B9">
      <w:pPr>
        <w:spacing w:after="0" w:line="240" w:lineRule="auto"/>
        <w:jc w:val="both"/>
        <w:rPr>
          <w:sz w:val="24"/>
        </w:rPr>
      </w:pPr>
      <w:r w:rsidRPr="00CE36B9">
        <w:rPr>
          <w:sz w:val="24"/>
        </w:rPr>
        <w:object w:dxaOrig="10901" w:dyaOrig="11354">
          <v:shape id="_x0000_i1027" type="#_x0000_t75" style="width:429.75pt;height:454.5pt" o:ole="">
            <v:imagedata r:id="rId12" o:title=""/>
          </v:shape>
          <o:OLEObject Type="Embed" ProgID="Excel.Sheet.12" ShapeID="_x0000_i1027" DrawAspect="Content" ObjectID="_1555667998" r:id="rId13"/>
        </w:object>
      </w:r>
    </w:p>
    <w:p w:rsidR="00CE36B9" w:rsidRPr="00CE36B9" w:rsidRDefault="00CE36B9" w:rsidP="00667271">
      <w:pPr>
        <w:spacing w:after="0" w:line="360" w:lineRule="auto"/>
        <w:jc w:val="both"/>
        <w:rPr>
          <w:sz w:val="24"/>
        </w:rPr>
      </w:pPr>
    </w:p>
    <w:p w:rsidR="00CE36B9" w:rsidRPr="00CE36B9" w:rsidRDefault="00BD5606" w:rsidP="00667271">
      <w:pPr>
        <w:spacing w:after="0" w:line="360" w:lineRule="auto"/>
        <w:ind w:firstLine="709"/>
        <w:jc w:val="both"/>
        <w:rPr>
          <w:sz w:val="24"/>
        </w:rPr>
      </w:pPr>
      <w:r>
        <w:rPr>
          <w:sz w:val="24"/>
        </w:rPr>
        <w:t>O</w:t>
      </w:r>
      <w:r w:rsidR="00222900" w:rsidRPr="00CE36B9">
        <w:rPr>
          <w:sz w:val="24"/>
        </w:rPr>
        <w:t xml:space="preserve"> efeito do pH inicial elevado a 7,0 no aumento da espécie PbOH</w:t>
      </w:r>
      <w:r w:rsidR="00222900" w:rsidRPr="00CE36B9">
        <w:rPr>
          <w:sz w:val="24"/>
          <w:vertAlign w:val="superscript"/>
        </w:rPr>
        <w:t>+</w:t>
      </w:r>
      <w:r w:rsidR="00222900" w:rsidRPr="00CE36B9">
        <w:rPr>
          <w:sz w:val="24"/>
        </w:rPr>
        <w:t xml:space="preserve"> foi pouco </w:t>
      </w:r>
      <w:r w:rsidR="00222900" w:rsidRPr="00D02F3E">
        <w:rPr>
          <w:sz w:val="24"/>
        </w:rPr>
        <w:t>pronunciado e ficou restrito ao LV, no menor nível de contaminação (Tabela 3). Com a adição de Cl e de doses crescentes de Pb e P houve aumento da força iônica e redução do pH da solução de equilíbrio, de 7,0 para a faixa de 2,8 a 5,6, de acordo com o tratamento</w:t>
      </w:r>
      <w:r w:rsidR="004A2A73" w:rsidRPr="00D02F3E">
        <w:rPr>
          <w:sz w:val="24"/>
        </w:rPr>
        <w:t xml:space="preserve"> (Figura 1)</w:t>
      </w:r>
      <w:r w:rsidR="00222900" w:rsidRPr="00D02F3E">
        <w:rPr>
          <w:sz w:val="24"/>
        </w:rPr>
        <w:t xml:space="preserve">. </w:t>
      </w:r>
    </w:p>
    <w:p w:rsidR="00CE36B9" w:rsidRPr="00CE36B9" w:rsidRDefault="00CE36B9" w:rsidP="00667271">
      <w:pPr>
        <w:spacing w:after="0" w:line="360" w:lineRule="auto"/>
        <w:ind w:firstLine="709"/>
        <w:jc w:val="both"/>
        <w:rPr>
          <w:sz w:val="24"/>
        </w:rPr>
      </w:pPr>
      <w:r w:rsidRPr="00D02F3E">
        <w:rPr>
          <w:sz w:val="24"/>
        </w:rPr>
        <w:t>Houve decréscimo dos teores de Pb</w:t>
      </w:r>
      <w:r w:rsidRPr="00D02F3E">
        <w:rPr>
          <w:sz w:val="24"/>
          <w:vertAlign w:val="subscript"/>
        </w:rPr>
        <w:t>t</w:t>
      </w:r>
      <w:r w:rsidRPr="00D02F3E">
        <w:rPr>
          <w:sz w:val="24"/>
        </w:rPr>
        <w:t xml:space="preserve"> aos 311 dias </w:t>
      </w:r>
      <w:r w:rsidR="00981FF5" w:rsidRPr="00D02F3E">
        <w:rPr>
          <w:sz w:val="24"/>
        </w:rPr>
        <w:t xml:space="preserve">de incubação com Pb </w:t>
      </w:r>
      <w:r w:rsidRPr="00D02F3E">
        <w:rPr>
          <w:sz w:val="24"/>
        </w:rPr>
        <w:t xml:space="preserve">(Tabela 4) quando comparados aos 60 dias (Tabela 3), indicando continuidade das reações ao longo do tempo e a passagem das formas solúveis para formas precipitadas e sólidas </w:t>
      </w:r>
      <w:r w:rsidR="00981FF5" w:rsidRPr="00D02F3E">
        <w:rPr>
          <w:sz w:val="24"/>
        </w:rPr>
        <w:t xml:space="preserve">estáveis </w:t>
      </w:r>
      <w:r w:rsidRPr="00D02F3E">
        <w:rPr>
          <w:sz w:val="24"/>
        </w:rPr>
        <w:t>(</w:t>
      </w:r>
      <w:r w:rsidR="00AB766E">
        <w:rPr>
          <w:sz w:val="24"/>
        </w:rPr>
        <w:t xml:space="preserve">por exemplo, </w:t>
      </w:r>
      <w:r w:rsidRPr="00D02F3E">
        <w:rPr>
          <w:sz w:val="24"/>
        </w:rPr>
        <w:t xml:space="preserve">cloropiromorfita). </w:t>
      </w:r>
      <w:r w:rsidR="00981FF5" w:rsidRPr="00D02F3E">
        <w:rPr>
          <w:sz w:val="24"/>
        </w:rPr>
        <w:t>Quanto maior o tempo de incubação de Pb e P maior a neoformação de cloropiromorfita em solos (</w:t>
      </w:r>
      <w:r w:rsidR="00981FF5" w:rsidRPr="00D02F3E">
        <w:rPr>
          <w:sz w:val="24"/>
          <w:highlight w:val="yellow"/>
        </w:rPr>
        <w:t>Referências???</w:t>
      </w:r>
      <w:r w:rsidR="00981FF5" w:rsidRPr="00D02F3E">
        <w:rPr>
          <w:sz w:val="24"/>
        </w:rPr>
        <w:t xml:space="preserve">). </w:t>
      </w:r>
      <w:r w:rsidRPr="00D02F3E">
        <w:rPr>
          <w:sz w:val="24"/>
        </w:rPr>
        <w:t xml:space="preserve">Quanto a distribuição das </w:t>
      </w:r>
      <w:r w:rsidRPr="00D02F3E">
        <w:rPr>
          <w:sz w:val="24"/>
        </w:rPr>
        <w:lastRenderedPageBreak/>
        <w:t>espécies de Pb aos 311</w:t>
      </w:r>
      <w:r w:rsidR="002E2F22" w:rsidRPr="00D02F3E">
        <w:rPr>
          <w:sz w:val="24"/>
        </w:rPr>
        <w:t xml:space="preserve"> </w:t>
      </w:r>
      <w:r w:rsidRPr="00D02F3E">
        <w:rPr>
          <w:sz w:val="24"/>
        </w:rPr>
        <w:t>dias, de maneira geral, as proporções foram semelhantes àqueles observados aos 60 dias.</w:t>
      </w:r>
    </w:p>
    <w:p w:rsidR="00CE36B9" w:rsidRPr="00CE36B9" w:rsidRDefault="00CE36B9" w:rsidP="00667271">
      <w:pPr>
        <w:spacing w:after="0" w:line="360" w:lineRule="auto"/>
        <w:ind w:firstLine="709"/>
        <w:jc w:val="both"/>
        <w:rPr>
          <w:sz w:val="24"/>
        </w:rPr>
      </w:pPr>
      <w:r w:rsidRPr="00CE36B9">
        <w:rPr>
          <w:sz w:val="24"/>
        </w:rPr>
        <w:t>Para o P, a ocorrência de formas livres (HPO</w:t>
      </w:r>
      <w:r w:rsidRPr="00CE36B9">
        <w:rPr>
          <w:sz w:val="24"/>
          <w:vertAlign w:val="subscript"/>
        </w:rPr>
        <w:t>4</w:t>
      </w:r>
      <w:r w:rsidRPr="00CE36B9">
        <w:rPr>
          <w:sz w:val="24"/>
          <w:vertAlign w:val="superscript"/>
        </w:rPr>
        <w:t>2-</w:t>
      </w:r>
      <w:r w:rsidRPr="00CE36B9">
        <w:rPr>
          <w:sz w:val="24"/>
        </w:rPr>
        <w:t>,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e H</w:t>
      </w:r>
      <w:r w:rsidRPr="00CE36B9">
        <w:rPr>
          <w:sz w:val="24"/>
          <w:vertAlign w:val="subscript"/>
        </w:rPr>
        <w:t>3</w:t>
      </w:r>
      <w:r w:rsidRPr="00CE36B9">
        <w:rPr>
          <w:sz w:val="24"/>
        </w:rPr>
        <w:t>PO</w:t>
      </w:r>
      <w:r w:rsidRPr="00CE36B9">
        <w:rPr>
          <w:sz w:val="24"/>
          <w:vertAlign w:val="subscript"/>
        </w:rPr>
        <w:t>4</w:t>
      </w:r>
      <w:r w:rsidRPr="00CE36B9">
        <w:rPr>
          <w:sz w:val="24"/>
        </w:rPr>
        <w:t>°), especialmente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predominou em relação às espécies ligada</w:t>
      </w:r>
      <w:r w:rsidR="00E9709A">
        <w:rPr>
          <w:sz w:val="24"/>
        </w:rPr>
        <w:t>s</w:t>
      </w:r>
      <w:r w:rsidRPr="00CE36B9">
        <w:rPr>
          <w:sz w:val="24"/>
        </w:rPr>
        <w:t xml:space="preserve"> a cátions (FeH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CaH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KH</w:t>
      </w:r>
      <w:r w:rsidRPr="00CE36B9">
        <w:rPr>
          <w:sz w:val="24"/>
          <w:vertAlign w:val="subscript"/>
        </w:rPr>
        <w:t>2</w:t>
      </w:r>
      <w:r w:rsidRPr="00CE36B9">
        <w:rPr>
          <w:sz w:val="24"/>
        </w:rPr>
        <w:t>PO</w:t>
      </w:r>
      <w:r w:rsidRPr="00CE36B9">
        <w:rPr>
          <w:sz w:val="24"/>
          <w:vertAlign w:val="subscript"/>
        </w:rPr>
        <w:t>4</w:t>
      </w:r>
      <w:r w:rsidRPr="00CE36B9">
        <w:rPr>
          <w:sz w:val="24"/>
        </w:rPr>
        <w:t>°, AlHPO</w:t>
      </w:r>
      <w:r w:rsidRPr="00CE36B9">
        <w:rPr>
          <w:sz w:val="24"/>
          <w:vertAlign w:val="subscript"/>
        </w:rPr>
        <w:t>4</w:t>
      </w:r>
      <w:r w:rsidRPr="00CE36B9">
        <w:rPr>
          <w:sz w:val="24"/>
          <w:vertAlign w:val="superscript"/>
        </w:rPr>
        <w:t>+</w:t>
      </w:r>
      <w:r w:rsidR="00CE6FD6">
        <w:rPr>
          <w:sz w:val="24"/>
        </w:rPr>
        <w:t>, etc</w:t>
      </w:r>
      <w:r w:rsidRPr="00CE36B9">
        <w:rPr>
          <w:sz w:val="24"/>
        </w:rPr>
        <w:t>) (Tabela 5). Para valores de pH entre 2,1 e 7,2 tem-se o predomínio do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em relação as demais formas livres do elemento (Lindsay, 1979; Wu </w:t>
      </w:r>
      <w:r w:rsidRPr="00CE36B9">
        <w:rPr>
          <w:i/>
          <w:sz w:val="24"/>
        </w:rPr>
        <w:t>et al</w:t>
      </w:r>
      <w:r w:rsidRPr="00CE36B9">
        <w:rPr>
          <w:sz w:val="24"/>
        </w:rPr>
        <w:t>., 2003).</w:t>
      </w:r>
    </w:p>
    <w:p w:rsidR="00CE36B9" w:rsidRPr="00CE36B9" w:rsidRDefault="00CE36B9" w:rsidP="00667271">
      <w:pPr>
        <w:spacing w:after="0" w:line="360" w:lineRule="auto"/>
        <w:ind w:firstLine="709"/>
        <w:jc w:val="both"/>
        <w:rPr>
          <w:sz w:val="24"/>
        </w:rPr>
      </w:pPr>
      <w:r w:rsidRPr="00CE36B9">
        <w:rPr>
          <w:sz w:val="24"/>
        </w:rPr>
        <w:t>Os teores de P</w:t>
      </w:r>
      <w:r w:rsidRPr="00CE36B9">
        <w:rPr>
          <w:sz w:val="24"/>
          <w:vertAlign w:val="subscript"/>
        </w:rPr>
        <w:t>t</w:t>
      </w:r>
      <w:r w:rsidRPr="00CE36B9">
        <w:rPr>
          <w:sz w:val="24"/>
        </w:rPr>
        <w:t xml:space="preserve"> </w:t>
      </w:r>
      <w:r w:rsidR="00F93097">
        <w:rPr>
          <w:sz w:val="24"/>
        </w:rPr>
        <w:t xml:space="preserve">(Tabela 5) </w:t>
      </w:r>
      <w:r w:rsidRPr="00CE36B9">
        <w:rPr>
          <w:sz w:val="24"/>
        </w:rPr>
        <w:t>acompanharam o aumento das doses de P aplicadas</w:t>
      </w:r>
      <w:r w:rsidR="003D23C0">
        <w:rPr>
          <w:sz w:val="24"/>
        </w:rPr>
        <w:t xml:space="preserve"> </w:t>
      </w:r>
      <w:r w:rsidRPr="00CE36B9">
        <w:rPr>
          <w:sz w:val="24"/>
        </w:rPr>
        <w:t>(Tabela 2).</w:t>
      </w:r>
      <w:r w:rsidR="00CE6FD6">
        <w:rPr>
          <w:sz w:val="24"/>
        </w:rPr>
        <w:t xml:space="preserve"> A</w:t>
      </w:r>
      <w:r w:rsidRPr="00CE36B9">
        <w:rPr>
          <w:sz w:val="24"/>
        </w:rPr>
        <w:t xml:space="preserve"> maior dose de P (12:5 - P:Pb), tanto no menor como no maior nível de contaminação com Pb (1 ou 5 x CMAPb), em ambos os solos, apresentou teores elevados de P</w:t>
      </w:r>
      <w:r w:rsidRPr="00CE36B9">
        <w:rPr>
          <w:sz w:val="24"/>
          <w:vertAlign w:val="subscript"/>
        </w:rPr>
        <w:t>t</w:t>
      </w:r>
      <w:r w:rsidRPr="00CE36B9">
        <w:rPr>
          <w:sz w:val="24"/>
        </w:rPr>
        <w:t xml:space="preserve"> na solução de equilíbrio, sugerindo que esta dose, apesar de responsiva na redução do Pb</w:t>
      </w:r>
      <w:r w:rsidRPr="00CE36B9">
        <w:rPr>
          <w:sz w:val="24"/>
          <w:vertAlign w:val="subscript"/>
        </w:rPr>
        <w:t>t</w:t>
      </w:r>
      <w:r w:rsidRPr="00CE36B9">
        <w:rPr>
          <w:sz w:val="24"/>
        </w:rPr>
        <w:t>, foi excessiva.</w:t>
      </w:r>
    </w:p>
    <w:p w:rsidR="00CE36B9" w:rsidRPr="00CE36B9" w:rsidRDefault="00CE36B9" w:rsidP="00667271">
      <w:pPr>
        <w:spacing w:after="0" w:line="360" w:lineRule="auto"/>
        <w:ind w:firstLine="709"/>
        <w:jc w:val="both"/>
        <w:rPr>
          <w:sz w:val="24"/>
        </w:rPr>
      </w:pPr>
      <w:r w:rsidRPr="00CE36B9">
        <w:rPr>
          <w:sz w:val="24"/>
        </w:rPr>
        <w:t>O Ca foi o principal ligante com o P no menor nível de contaminação, com maior expressão nos tratamentos com pH inicial elevado a 7,0, em ambos os solos (Tabela 5). Quando a dose do contaminante foi aumentada para 5 x CMAPb houve redução desta espécie no NV. Nesta condição de maior nível de contaminação, o Al foi o principal ligante com o fosfato em ambos os solos.</w:t>
      </w:r>
    </w:p>
    <w:p w:rsidR="00CE36B9" w:rsidRPr="00CE36B9" w:rsidRDefault="00CE36B9" w:rsidP="00C14B73">
      <w:pPr>
        <w:suppressAutoHyphens w:val="0"/>
        <w:spacing w:after="0" w:line="240" w:lineRule="auto"/>
        <w:rPr>
          <w:sz w:val="24"/>
        </w:rPr>
      </w:pPr>
      <w:r>
        <w:rPr>
          <w:sz w:val="24"/>
        </w:rPr>
        <w:br w:type="page"/>
      </w:r>
      <w:r w:rsidRPr="00667271">
        <w:rPr>
          <w:b/>
          <w:sz w:val="24"/>
        </w:rPr>
        <w:lastRenderedPageBreak/>
        <w:t>Tabela 4.</w:t>
      </w:r>
      <w:r w:rsidRPr="00CE36B9">
        <w:rPr>
          <w:sz w:val="24"/>
        </w:rPr>
        <w:t xml:space="preserve"> Teor total de Pb (Pb</w:t>
      </w:r>
      <w:r w:rsidRPr="00CE36B9">
        <w:rPr>
          <w:sz w:val="24"/>
          <w:vertAlign w:val="subscript"/>
        </w:rPr>
        <w:t>t</w:t>
      </w:r>
      <w:r w:rsidRPr="00CE36B9">
        <w:rPr>
          <w:sz w:val="24"/>
        </w:rPr>
        <w:t>) e o percentual em relação ao total das suas principais espécies químicas na solução de equilíbrio de dois solos com textura contrastante</w:t>
      </w:r>
      <w:r w:rsidR="00C14B73">
        <w:rPr>
          <w:sz w:val="24"/>
        </w:rPr>
        <w:t xml:space="preserve"> </w:t>
      </w:r>
      <w:r w:rsidR="00C14B73" w:rsidRPr="00CE36B9">
        <w:rPr>
          <w:sz w:val="24"/>
        </w:rPr>
        <w:t>avaliada aos 60 dias</w:t>
      </w:r>
      <w:r w:rsidR="00C14B73">
        <w:rPr>
          <w:sz w:val="24"/>
        </w:rPr>
        <w:t xml:space="preserve"> de incubação com Pb (30 dias de incubação com P)</w:t>
      </w:r>
      <w:r w:rsidRPr="00CE36B9">
        <w:rPr>
          <w:sz w:val="24"/>
        </w:rPr>
        <w:object w:dxaOrig="10998" w:dyaOrig="11704">
          <v:shape id="_x0000_i1028" type="#_x0000_t75" style="width:427.5pt;height:475.5pt" o:ole="">
            <v:imagedata r:id="rId14" o:title=""/>
          </v:shape>
          <o:OLEObject Type="Embed" ProgID="Excel.Sheet.12" ShapeID="_x0000_i1028" DrawAspect="Content" ObjectID="_1555667999" r:id="rId15"/>
        </w:object>
      </w:r>
    </w:p>
    <w:p w:rsidR="00CE36B9" w:rsidRPr="00CE36B9" w:rsidRDefault="00CE36B9" w:rsidP="00667271">
      <w:pPr>
        <w:spacing w:after="0" w:line="360" w:lineRule="auto"/>
        <w:jc w:val="both"/>
        <w:rPr>
          <w:sz w:val="24"/>
        </w:rPr>
      </w:pPr>
    </w:p>
    <w:p w:rsidR="00CE36B9" w:rsidRDefault="00CE36B9" w:rsidP="00667271">
      <w:pPr>
        <w:spacing w:after="0" w:line="360" w:lineRule="auto"/>
        <w:ind w:firstLine="709"/>
        <w:jc w:val="both"/>
        <w:rPr>
          <w:sz w:val="24"/>
        </w:rPr>
      </w:pPr>
    </w:p>
    <w:p w:rsidR="00C14B73" w:rsidRDefault="00CE36B9" w:rsidP="00222900">
      <w:pPr>
        <w:spacing w:after="0" w:line="240" w:lineRule="auto"/>
        <w:jc w:val="both"/>
        <w:rPr>
          <w:sz w:val="24"/>
        </w:rPr>
      </w:pPr>
      <w:r w:rsidRPr="00667271">
        <w:rPr>
          <w:b/>
          <w:sz w:val="24"/>
        </w:rPr>
        <w:t>Tabela 5.</w:t>
      </w:r>
      <w:r w:rsidRPr="00CE36B9">
        <w:rPr>
          <w:sz w:val="24"/>
        </w:rPr>
        <w:t xml:space="preserve"> Teor total de P (P</w:t>
      </w:r>
      <w:r w:rsidRPr="00CE36B9">
        <w:rPr>
          <w:sz w:val="24"/>
          <w:vertAlign w:val="subscript"/>
        </w:rPr>
        <w:t>t</w:t>
      </w:r>
      <w:r w:rsidRPr="00CE36B9">
        <w:rPr>
          <w:sz w:val="24"/>
        </w:rPr>
        <w:t>) e o percentual em relação ao total das suas principais espécies químicas na solução de equilíbrio de dois solos com textura contrastante</w:t>
      </w:r>
      <w:r w:rsidR="00C14B73">
        <w:rPr>
          <w:sz w:val="24"/>
        </w:rPr>
        <w:t xml:space="preserve"> </w:t>
      </w:r>
      <w:r w:rsidR="00C14B73" w:rsidRPr="00CE36B9">
        <w:rPr>
          <w:sz w:val="24"/>
        </w:rPr>
        <w:t>avaliada aos 60 dias</w:t>
      </w:r>
      <w:r w:rsidR="00C14B73">
        <w:rPr>
          <w:sz w:val="24"/>
        </w:rPr>
        <w:t xml:space="preserve"> de incubação com Pb (30 dias de incubação com P)</w:t>
      </w:r>
    </w:p>
    <w:p w:rsidR="00CE36B9" w:rsidRPr="00CE36B9" w:rsidRDefault="00CE36B9" w:rsidP="00222900">
      <w:pPr>
        <w:spacing w:after="0" w:line="240" w:lineRule="auto"/>
        <w:jc w:val="both"/>
        <w:rPr>
          <w:sz w:val="18"/>
          <w:szCs w:val="18"/>
        </w:rPr>
      </w:pPr>
      <w:r w:rsidRPr="00CE36B9">
        <w:rPr>
          <w:sz w:val="24"/>
        </w:rPr>
        <w:object w:dxaOrig="13492" w:dyaOrig="11354">
          <v:shape id="_x0000_i1029" type="#_x0000_t75" style="width:456pt;height:388.5pt" o:ole="">
            <v:imagedata r:id="rId16" o:title=""/>
          </v:shape>
          <o:OLEObject Type="Embed" ProgID="Excel.Sheet.12" ShapeID="_x0000_i1029" DrawAspect="Content" ObjectID="_1555668000" r:id="rId17"/>
        </w:object>
      </w:r>
      <w:r w:rsidRPr="00CE36B9">
        <w:rPr>
          <w:sz w:val="18"/>
          <w:szCs w:val="18"/>
        </w:rPr>
        <w:t>*outras = PbH</w:t>
      </w:r>
      <w:r w:rsidRPr="00CE36B9">
        <w:rPr>
          <w:kern w:val="20"/>
          <w:sz w:val="18"/>
          <w:szCs w:val="18"/>
          <w:vertAlign w:val="subscript"/>
        </w:rPr>
        <w:t>2</w:t>
      </w:r>
      <w:r w:rsidRPr="00CE36B9">
        <w:rPr>
          <w:sz w:val="18"/>
          <w:szCs w:val="18"/>
        </w:rPr>
        <w:t>PO</w:t>
      </w:r>
      <w:r w:rsidRPr="00CE36B9">
        <w:rPr>
          <w:kern w:val="20"/>
          <w:sz w:val="18"/>
          <w:szCs w:val="18"/>
          <w:vertAlign w:val="subscript"/>
        </w:rPr>
        <w:t>4</w:t>
      </w:r>
      <w:r w:rsidRPr="00CE36B9">
        <w:rPr>
          <w:kern w:val="20"/>
          <w:sz w:val="18"/>
          <w:szCs w:val="18"/>
          <w:vertAlign w:val="superscript"/>
        </w:rPr>
        <w:t>+</w:t>
      </w:r>
      <w:r w:rsidRPr="00CE36B9">
        <w:rPr>
          <w:sz w:val="18"/>
          <w:szCs w:val="18"/>
        </w:rPr>
        <w:t>, PbHPO</w:t>
      </w:r>
      <w:r w:rsidRPr="00CE36B9">
        <w:rPr>
          <w:kern w:val="20"/>
          <w:sz w:val="18"/>
          <w:szCs w:val="18"/>
          <w:vertAlign w:val="subscript"/>
        </w:rPr>
        <w:t>4</w:t>
      </w:r>
      <w:r w:rsidRPr="00CE36B9">
        <w:rPr>
          <w:sz w:val="18"/>
          <w:szCs w:val="18"/>
        </w:rPr>
        <w:t>°, MgHPO</w:t>
      </w:r>
      <w:r w:rsidRPr="00CE36B9">
        <w:rPr>
          <w:kern w:val="20"/>
          <w:sz w:val="18"/>
          <w:szCs w:val="18"/>
          <w:vertAlign w:val="subscript"/>
        </w:rPr>
        <w:t>4</w:t>
      </w:r>
      <w:r w:rsidRPr="00CE36B9">
        <w:rPr>
          <w:sz w:val="18"/>
          <w:szCs w:val="18"/>
        </w:rPr>
        <w:t>°, CaHPO</w:t>
      </w:r>
      <w:r w:rsidRPr="00CE36B9">
        <w:rPr>
          <w:kern w:val="20"/>
          <w:sz w:val="18"/>
          <w:szCs w:val="18"/>
          <w:vertAlign w:val="subscript"/>
        </w:rPr>
        <w:t>4</w:t>
      </w:r>
      <w:r w:rsidRPr="00CE36B9">
        <w:rPr>
          <w:sz w:val="18"/>
          <w:szCs w:val="18"/>
        </w:rPr>
        <w:t>°, KHPO</w:t>
      </w:r>
      <w:r w:rsidRPr="00CE36B9">
        <w:rPr>
          <w:kern w:val="20"/>
          <w:sz w:val="18"/>
          <w:szCs w:val="18"/>
          <w:vertAlign w:val="subscript"/>
        </w:rPr>
        <w:t>4</w:t>
      </w:r>
      <w:r w:rsidRPr="00CE36B9">
        <w:rPr>
          <w:kern w:val="20"/>
          <w:sz w:val="18"/>
          <w:szCs w:val="18"/>
          <w:vertAlign w:val="superscript"/>
        </w:rPr>
        <w:t>-</w:t>
      </w:r>
      <w:r w:rsidRPr="00CE36B9">
        <w:rPr>
          <w:sz w:val="18"/>
          <w:szCs w:val="18"/>
        </w:rPr>
        <w:t>, Al</w:t>
      </w:r>
      <w:r w:rsidRPr="00CE36B9">
        <w:rPr>
          <w:kern w:val="20"/>
          <w:sz w:val="18"/>
          <w:szCs w:val="18"/>
          <w:vertAlign w:val="subscript"/>
        </w:rPr>
        <w:t>2</w:t>
      </w:r>
      <w:r w:rsidRPr="00CE36B9">
        <w:rPr>
          <w:sz w:val="18"/>
          <w:szCs w:val="18"/>
        </w:rPr>
        <w:t>PO</w:t>
      </w:r>
      <w:r w:rsidRPr="00CE36B9">
        <w:rPr>
          <w:kern w:val="20"/>
          <w:sz w:val="18"/>
          <w:szCs w:val="18"/>
          <w:vertAlign w:val="subscript"/>
        </w:rPr>
        <w:t>4</w:t>
      </w:r>
      <w:r w:rsidRPr="00CE36B9">
        <w:rPr>
          <w:kern w:val="20"/>
          <w:sz w:val="18"/>
          <w:szCs w:val="18"/>
          <w:vertAlign w:val="superscript"/>
        </w:rPr>
        <w:t>3+</w:t>
      </w:r>
      <w:r w:rsidRPr="00CE36B9">
        <w:rPr>
          <w:sz w:val="18"/>
          <w:szCs w:val="18"/>
        </w:rPr>
        <w:t>, ZnHPO</w:t>
      </w:r>
      <w:r w:rsidRPr="00CE36B9">
        <w:rPr>
          <w:kern w:val="20"/>
          <w:sz w:val="18"/>
          <w:szCs w:val="18"/>
          <w:vertAlign w:val="subscript"/>
        </w:rPr>
        <w:t>4</w:t>
      </w:r>
      <w:r w:rsidRPr="00CE36B9">
        <w:rPr>
          <w:sz w:val="18"/>
          <w:szCs w:val="18"/>
        </w:rPr>
        <w:t>° e MnHPO</w:t>
      </w:r>
      <w:r w:rsidRPr="00CE36B9">
        <w:rPr>
          <w:kern w:val="20"/>
          <w:sz w:val="18"/>
          <w:szCs w:val="18"/>
          <w:vertAlign w:val="subscript"/>
        </w:rPr>
        <w:t>4</w:t>
      </w:r>
      <w:r w:rsidRPr="00CE36B9">
        <w:rPr>
          <w:sz w:val="18"/>
          <w:szCs w:val="18"/>
        </w:rPr>
        <w:t>°.</w:t>
      </w:r>
    </w:p>
    <w:p w:rsidR="00CE36B9" w:rsidRPr="00CE36B9" w:rsidRDefault="00CE36B9" w:rsidP="00667271">
      <w:pPr>
        <w:spacing w:after="0" w:line="360" w:lineRule="auto"/>
        <w:rPr>
          <w:sz w:val="24"/>
        </w:rPr>
      </w:pPr>
    </w:p>
    <w:p w:rsidR="00CE36B9" w:rsidRPr="00382FE0" w:rsidRDefault="00CE36B9" w:rsidP="00667271">
      <w:pPr>
        <w:pStyle w:val="Subttulo"/>
        <w:spacing w:after="0" w:line="360" w:lineRule="auto"/>
        <w:jc w:val="left"/>
        <w:rPr>
          <w:i/>
        </w:rPr>
      </w:pPr>
      <w:bookmarkStart w:id="16" w:name="_Toc443247128"/>
      <w:r w:rsidRPr="00382FE0">
        <w:rPr>
          <w:rStyle w:val="TtulodoLivro"/>
          <w:rFonts w:ascii="Times New Roman" w:hAnsi="Times New Roman"/>
          <w:i w:val="0"/>
          <w:spacing w:val="0"/>
        </w:rPr>
        <w:t xml:space="preserve">2.3.2. pH da </w:t>
      </w:r>
      <w:bookmarkEnd w:id="16"/>
      <w:r w:rsidR="00454AAE" w:rsidRPr="00382FE0">
        <w:rPr>
          <w:rStyle w:val="TtulodoLivro"/>
          <w:rFonts w:ascii="Times New Roman" w:hAnsi="Times New Roman"/>
          <w:i w:val="0"/>
          <w:spacing w:val="0"/>
        </w:rPr>
        <w:t xml:space="preserve">Solução </w:t>
      </w:r>
      <w:r w:rsidR="00454AAE">
        <w:rPr>
          <w:rStyle w:val="TtulodoLivro"/>
          <w:rFonts w:ascii="Times New Roman" w:hAnsi="Times New Roman"/>
          <w:i w:val="0"/>
          <w:spacing w:val="0"/>
        </w:rPr>
        <w:t xml:space="preserve">do </w:t>
      </w:r>
      <w:r w:rsidR="00454AAE" w:rsidRPr="00382FE0">
        <w:rPr>
          <w:rStyle w:val="TtulodoLivro"/>
          <w:rFonts w:ascii="Times New Roman" w:hAnsi="Times New Roman"/>
          <w:i w:val="0"/>
          <w:spacing w:val="0"/>
        </w:rPr>
        <w:t>Solo</w:t>
      </w:r>
    </w:p>
    <w:p w:rsidR="00CE36B9" w:rsidRPr="00CE36B9" w:rsidRDefault="00CE36B9" w:rsidP="00667271">
      <w:pPr>
        <w:spacing w:after="0" w:line="360" w:lineRule="auto"/>
        <w:ind w:firstLine="709"/>
        <w:jc w:val="both"/>
        <w:rPr>
          <w:sz w:val="24"/>
        </w:rPr>
      </w:pPr>
      <w:r w:rsidRPr="00CE36B9">
        <w:rPr>
          <w:sz w:val="24"/>
        </w:rPr>
        <w:t xml:space="preserve">O pH da solução de equilíbrio reduziu aos 30 dias </w:t>
      </w:r>
      <w:r w:rsidR="00562C66">
        <w:rPr>
          <w:sz w:val="24"/>
        </w:rPr>
        <w:t>de incubação com</w:t>
      </w:r>
      <w:r w:rsidRPr="00CE36B9">
        <w:rPr>
          <w:sz w:val="24"/>
        </w:rPr>
        <w:t xml:space="preserve"> Pb, nos dois solos, em relação ao pH inicial (Figura 1). Para o LV no menor nível de contaminação</w:t>
      </w:r>
      <w:r w:rsidR="00562C66">
        <w:rPr>
          <w:sz w:val="24"/>
        </w:rPr>
        <w:t xml:space="preserve"> (</w:t>
      </w:r>
      <w:r w:rsidRPr="00CE36B9">
        <w:rPr>
          <w:sz w:val="24"/>
        </w:rPr>
        <w:t>1</w:t>
      </w:r>
      <w:r w:rsidR="00AB03D3">
        <w:rPr>
          <w:sz w:val="24"/>
        </w:rPr>
        <w:t xml:space="preserve"> </w:t>
      </w:r>
      <w:r w:rsidRPr="00CE36B9">
        <w:rPr>
          <w:sz w:val="24"/>
        </w:rPr>
        <w:t>x</w:t>
      </w:r>
      <w:r w:rsidR="00AB03D3">
        <w:rPr>
          <w:sz w:val="24"/>
        </w:rPr>
        <w:t xml:space="preserve"> </w:t>
      </w:r>
      <w:r w:rsidRPr="00CE36B9">
        <w:rPr>
          <w:sz w:val="24"/>
        </w:rPr>
        <w:t>CMAPb</w:t>
      </w:r>
      <w:r w:rsidR="00562C66">
        <w:rPr>
          <w:sz w:val="24"/>
        </w:rPr>
        <w:t>)</w:t>
      </w:r>
      <w:r w:rsidRPr="00CE36B9">
        <w:rPr>
          <w:sz w:val="24"/>
        </w:rPr>
        <w:t xml:space="preserve"> (Figura 1A), houve maior tamponamento (resistência à redução do pH com o tempo de incubação) em relação ao mesmo nível de contaminação do NV (Figura 1C).</w:t>
      </w:r>
    </w:p>
    <w:p w:rsidR="00CE36B9" w:rsidRPr="00CE36B9" w:rsidRDefault="00E51B11" w:rsidP="00CF2886">
      <w:pPr>
        <w:spacing w:after="0" w:line="240" w:lineRule="auto"/>
        <w:jc w:val="both"/>
        <w:rPr>
          <w:sz w:val="24"/>
        </w:rPr>
      </w:pPr>
      <w:r>
        <w:rPr>
          <w:noProof/>
          <w:sz w:val="24"/>
          <w:lang w:val="en-US" w:eastAsia="en-US"/>
        </w:rPr>
        <w:lastRenderedPageBreak/>
        <w:drawing>
          <wp:inline distT="0" distB="0" distL="0" distR="0">
            <wp:extent cx="5762625" cy="4495800"/>
            <wp:effectExtent l="19050" t="0" r="9525" b="0"/>
            <wp:docPr id="21"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18" cstate="print"/>
                    <a:srcRect/>
                    <a:stretch>
                      <a:fillRect/>
                    </a:stretch>
                  </pic:blipFill>
                  <pic:spPr bwMode="auto">
                    <a:xfrm>
                      <a:off x="0" y="0"/>
                      <a:ext cx="5762625" cy="4495800"/>
                    </a:xfrm>
                    <a:prstGeom prst="rect">
                      <a:avLst/>
                    </a:prstGeom>
                    <a:noFill/>
                    <a:ln w="9525">
                      <a:noFill/>
                      <a:miter lim="800000"/>
                      <a:headEnd/>
                      <a:tailEnd/>
                    </a:ln>
                  </pic:spPr>
                </pic:pic>
              </a:graphicData>
            </a:graphic>
          </wp:inline>
        </w:drawing>
      </w:r>
    </w:p>
    <w:p w:rsidR="00CE36B9" w:rsidRPr="00CE36B9" w:rsidRDefault="00CE36B9" w:rsidP="00F90138">
      <w:pPr>
        <w:spacing w:after="0" w:line="240" w:lineRule="auto"/>
        <w:jc w:val="both"/>
        <w:rPr>
          <w:sz w:val="24"/>
        </w:rPr>
      </w:pPr>
      <w:r w:rsidRPr="00667271">
        <w:rPr>
          <w:b/>
          <w:sz w:val="24"/>
        </w:rPr>
        <w:t>Figura 1.</w:t>
      </w:r>
      <w:r w:rsidRPr="00CE36B9">
        <w:rPr>
          <w:sz w:val="24"/>
        </w:rPr>
        <w:t xml:space="preserve"> Avaliação do pH da solução de equilíbrio ao longo do tempo. (A) pH da solução de equilíbrio no LV nos tratamentos com menor nível de contaminação (</w:t>
      </w:r>
      <w:r w:rsidRPr="00DF1FAA">
        <w:rPr>
          <w:sz w:val="24"/>
        </w:rPr>
        <w:t>1 x CMAPb</w:t>
      </w:r>
      <w:r w:rsidRPr="00CE36B9">
        <w:rPr>
          <w:sz w:val="24"/>
        </w:rPr>
        <w:t>). (B) pH da solução de equilíbrio nos tratamentos com maior nível de contaminação (</w:t>
      </w:r>
      <w:r w:rsidRPr="00DF1FAA">
        <w:rPr>
          <w:sz w:val="24"/>
        </w:rPr>
        <w:t>5 x CMAPb</w:t>
      </w:r>
      <w:r w:rsidRPr="00CE36B9">
        <w:rPr>
          <w:sz w:val="24"/>
        </w:rPr>
        <w:t xml:space="preserve">) no LV. (C) pH da solução de equilíbrio no NV nos tratamentos com menor nível de contaminação </w:t>
      </w:r>
      <w:r w:rsidRPr="00DC5214">
        <w:rPr>
          <w:sz w:val="24"/>
        </w:rPr>
        <w:t>(1 x CMAPb).</w:t>
      </w:r>
      <w:r w:rsidRPr="00CE36B9">
        <w:rPr>
          <w:sz w:val="24"/>
        </w:rPr>
        <w:t xml:space="preserve"> (D) pH da solução de equilíbrio no NV nos tratamentos com maior nível de contaminação (</w:t>
      </w:r>
      <w:r w:rsidRPr="00DC5214">
        <w:rPr>
          <w:sz w:val="24"/>
        </w:rPr>
        <w:t>5 x CMAPb</w:t>
      </w:r>
      <w:r w:rsidRPr="00CE36B9">
        <w:rPr>
          <w:sz w:val="24"/>
        </w:rPr>
        <w:t>).</w:t>
      </w:r>
    </w:p>
    <w:p w:rsidR="00CE36B9" w:rsidRPr="00CE36B9" w:rsidRDefault="00CE36B9" w:rsidP="00667271">
      <w:pPr>
        <w:spacing w:after="0" w:line="360" w:lineRule="auto"/>
        <w:jc w:val="both"/>
        <w:rPr>
          <w:sz w:val="24"/>
        </w:rPr>
      </w:pPr>
    </w:p>
    <w:p w:rsidR="00CE36B9" w:rsidRPr="00CE36B9" w:rsidRDefault="00CE36B9" w:rsidP="00667271">
      <w:pPr>
        <w:spacing w:after="0" w:line="360" w:lineRule="auto"/>
        <w:ind w:firstLine="709"/>
        <w:jc w:val="both"/>
        <w:rPr>
          <w:sz w:val="24"/>
        </w:rPr>
      </w:pPr>
      <w:r w:rsidRPr="00CE36B9">
        <w:rPr>
          <w:sz w:val="24"/>
        </w:rPr>
        <w:t>De maneira geral, 30 dias após a aplicação das doses de P (60 dias de incubação com Pb) houve a tendência de elevação do pH em relação ao tempo zero de incubação com P nos tratamentos com menor nível de contaminação, nos dois solos (Figura 1A e 1C). A fixação de P (complexos de esfera interna) nos grupos aluminol (-AlOH) e ferrol (-FeOH) dos minerais da fração argila é processada por troca de ligantes entre o fosfato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e os grupos hidroxilas de superfície</w:t>
      </w:r>
      <w:r w:rsidR="00562C66">
        <w:rPr>
          <w:sz w:val="24"/>
        </w:rPr>
        <w:t xml:space="preserve"> (</w:t>
      </w:r>
      <w:r w:rsidR="00562C66" w:rsidRPr="00562C66">
        <w:rPr>
          <w:sz w:val="24"/>
          <w:highlight w:val="yellow"/>
        </w:rPr>
        <w:t>referências???</w:t>
      </w:r>
      <w:r w:rsidR="00562C66">
        <w:rPr>
          <w:sz w:val="24"/>
        </w:rPr>
        <w:t>)</w:t>
      </w:r>
      <w:r w:rsidRPr="00CE36B9">
        <w:rPr>
          <w:sz w:val="24"/>
        </w:rPr>
        <w:t>, o que determina elevação do pH da solução do solo.</w:t>
      </w:r>
    </w:p>
    <w:p w:rsidR="0032521F" w:rsidRPr="00CE36B9" w:rsidRDefault="00CE36B9" w:rsidP="0032521F">
      <w:pPr>
        <w:spacing w:after="0" w:line="360" w:lineRule="auto"/>
        <w:ind w:left="-6" w:right="45" w:firstLine="709"/>
        <w:jc w:val="both"/>
        <w:rPr>
          <w:sz w:val="24"/>
        </w:rPr>
      </w:pPr>
      <w:r w:rsidRPr="00CE36B9">
        <w:rPr>
          <w:sz w:val="24"/>
        </w:rPr>
        <w:t>A maior acidificação aos 60 dias de incubação com Pb no maior nível de contaminação com Pb</w:t>
      </w:r>
      <w:r w:rsidR="006463CE">
        <w:rPr>
          <w:sz w:val="24"/>
        </w:rPr>
        <w:t xml:space="preserve"> (5 x CMAPb) </w:t>
      </w:r>
      <w:r w:rsidRPr="00CE36B9">
        <w:rPr>
          <w:sz w:val="24"/>
        </w:rPr>
        <w:t xml:space="preserve"> e menores doses de P (relações P:Pb de 3:5 a 6:5 - Tabela 2) (Figuras 1B e 1D) indica maior formação da cloropiromorfita. A maior abundância da espécie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verificada em solução indica que esta foi a forma de P que reagiu com o Pb</w:t>
      </w:r>
      <w:r w:rsidRPr="00CE36B9">
        <w:rPr>
          <w:sz w:val="24"/>
          <w:vertAlign w:val="superscript"/>
        </w:rPr>
        <w:t>2+</w:t>
      </w:r>
      <w:r w:rsidRPr="00CE36B9">
        <w:rPr>
          <w:sz w:val="24"/>
        </w:rPr>
        <w:t xml:space="preserve"> para a formação da cloropiromorfita</w:t>
      </w:r>
      <w:r w:rsidR="006463CE">
        <w:rPr>
          <w:sz w:val="24"/>
        </w:rPr>
        <w:t xml:space="preserve"> (</w:t>
      </w:r>
      <w:r w:rsidR="00C44AEC" w:rsidRPr="0085568C">
        <w:rPr>
          <w:rFonts w:eastAsia="Times New Roman" w:cs="Times New Roman"/>
          <w:color w:val="000000"/>
          <w:kern w:val="0"/>
          <w:sz w:val="24"/>
          <w:shd w:val="clear" w:color="auto" w:fill="FFFFFF"/>
          <w:lang w:eastAsia="pt-BR"/>
        </w:rPr>
        <w:t>Pb</w:t>
      </w:r>
      <w:r w:rsidR="00C44AEC" w:rsidRPr="0085568C">
        <w:rPr>
          <w:rFonts w:eastAsia="Times New Roman" w:cs="Times New Roman"/>
          <w:color w:val="000000"/>
          <w:kern w:val="0"/>
          <w:sz w:val="24"/>
          <w:shd w:val="clear" w:color="auto" w:fill="FFFFFF"/>
          <w:vertAlign w:val="subscript"/>
          <w:lang w:eastAsia="pt-BR"/>
        </w:rPr>
        <w:t>5</w:t>
      </w:r>
      <w:r w:rsidR="00C44AEC" w:rsidRPr="0085568C">
        <w:rPr>
          <w:rFonts w:eastAsia="Times New Roman" w:cs="Times New Roman"/>
          <w:color w:val="000000"/>
          <w:kern w:val="0"/>
          <w:sz w:val="24"/>
          <w:shd w:val="clear" w:color="auto" w:fill="FFFFFF"/>
          <w:lang w:eastAsia="pt-BR"/>
        </w:rPr>
        <w:t>(PO</w:t>
      </w:r>
      <w:r w:rsidR="00C44AEC" w:rsidRPr="0085568C">
        <w:rPr>
          <w:rFonts w:eastAsia="Times New Roman" w:cs="Times New Roman"/>
          <w:color w:val="000000"/>
          <w:kern w:val="0"/>
          <w:sz w:val="24"/>
          <w:shd w:val="clear" w:color="auto" w:fill="FFFFFF"/>
          <w:vertAlign w:val="subscript"/>
          <w:lang w:eastAsia="pt-BR"/>
        </w:rPr>
        <w:t>4</w:t>
      </w:r>
      <w:r w:rsidR="00C44AEC" w:rsidRPr="0085568C">
        <w:rPr>
          <w:rFonts w:eastAsia="Times New Roman" w:cs="Times New Roman"/>
          <w:color w:val="000000"/>
          <w:kern w:val="0"/>
          <w:sz w:val="24"/>
          <w:shd w:val="clear" w:color="auto" w:fill="FFFFFF"/>
          <w:lang w:eastAsia="pt-BR"/>
        </w:rPr>
        <w:t>)</w:t>
      </w:r>
      <w:r w:rsidR="00C44AEC" w:rsidRPr="0085568C">
        <w:rPr>
          <w:rFonts w:eastAsia="Times New Roman" w:cs="Times New Roman"/>
          <w:color w:val="000000"/>
          <w:kern w:val="0"/>
          <w:sz w:val="24"/>
          <w:shd w:val="clear" w:color="auto" w:fill="FFFFFF"/>
          <w:vertAlign w:val="subscript"/>
          <w:lang w:eastAsia="pt-BR"/>
        </w:rPr>
        <w:t>3</w:t>
      </w:r>
      <w:r w:rsidR="00C44AEC" w:rsidRPr="0085568C">
        <w:rPr>
          <w:rFonts w:eastAsia="Times New Roman" w:cs="Times New Roman"/>
          <w:color w:val="000000"/>
          <w:kern w:val="0"/>
          <w:sz w:val="24"/>
          <w:shd w:val="clear" w:color="auto" w:fill="FFFFFF"/>
          <w:lang w:eastAsia="pt-BR"/>
        </w:rPr>
        <w:t>Cl</w:t>
      </w:r>
      <w:r w:rsidR="00C44AEC">
        <w:rPr>
          <w:rFonts w:eastAsia="Times New Roman" w:cs="Times New Roman"/>
          <w:color w:val="000000"/>
          <w:kern w:val="0"/>
          <w:sz w:val="24"/>
          <w:shd w:val="clear" w:color="auto" w:fill="FFFFFF"/>
          <w:lang w:eastAsia="pt-BR"/>
        </w:rPr>
        <w:t xml:space="preserve"> - Lindsay, 1979)</w:t>
      </w:r>
      <w:r w:rsidRPr="00CE36B9">
        <w:rPr>
          <w:sz w:val="24"/>
        </w:rPr>
        <w:t xml:space="preserve">, </w:t>
      </w:r>
      <w:r w:rsidR="0032521F">
        <w:rPr>
          <w:sz w:val="24"/>
        </w:rPr>
        <w:t xml:space="preserve">cuja reação resulta </w:t>
      </w:r>
      <w:r w:rsidR="0032521F">
        <w:rPr>
          <w:sz w:val="24"/>
        </w:rPr>
        <w:lastRenderedPageBreak/>
        <w:t xml:space="preserve">na liberação </w:t>
      </w:r>
      <w:r w:rsidRPr="00CE36B9">
        <w:rPr>
          <w:sz w:val="24"/>
        </w:rPr>
        <w:t>dois íons H</w:t>
      </w:r>
      <w:r w:rsidRPr="00CE36B9">
        <w:rPr>
          <w:sz w:val="24"/>
          <w:vertAlign w:val="superscript"/>
        </w:rPr>
        <w:t>+</w:t>
      </w:r>
      <w:r w:rsidRPr="00CE36B9">
        <w:rPr>
          <w:sz w:val="24"/>
        </w:rPr>
        <w:t xml:space="preserve">. </w:t>
      </w:r>
      <w:r w:rsidR="0032521F" w:rsidRPr="00CE36B9">
        <w:rPr>
          <w:sz w:val="24"/>
        </w:rPr>
        <w:t xml:space="preserve">Melamed </w:t>
      </w:r>
      <w:r w:rsidR="0032521F" w:rsidRPr="00CE36B9">
        <w:rPr>
          <w:i/>
          <w:sz w:val="24"/>
        </w:rPr>
        <w:t>et al</w:t>
      </w:r>
      <w:r w:rsidR="0032521F" w:rsidRPr="00CE36B9">
        <w:rPr>
          <w:sz w:val="24"/>
        </w:rPr>
        <w:t xml:space="preserve">. (2003) </w:t>
      </w:r>
      <w:r w:rsidR="0032521F">
        <w:rPr>
          <w:sz w:val="24"/>
        </w:rPr>
        <w:t xml:space="preserve">também </w:t>
      </w:r>
      <w:r w:rsidR="0032521F" w:rsidRPr="00CE36B9">
        <w:rPr>
          <w:sz w:val="24"/>
        </w:rPr>
        <w:t>verificaram redução do pH da solução após a adição de diferentes formas de fosfato em solo contaminado por Pb.</w:t>
      </w:r>
    </w:p>
    <w:p w:rsidR="00CE36B9" w:rsidRPr="00CE36B9" w:rsidRDefault="00CE36B9" w:rsidP="00C44AEC">
      <w:pPr>
        <w:spacing w:after="0" w:line="360" w:lineRule="auto"/>
        <w:ind w:left="-6" w:right="45" w:firstLine="709"/>
        <w:jc w:val="both"/>
        <w:rPr>
          <w:sz w:val="24"/>
        </w:rPr>
      </w:pPr>
      <w:r w:rsidRPr="00CE36B9">
        <w:rPr>
          <w:sz w:val="24"/>
        </w:rPr>
        <w:t>Nos tratamentos com 5</w:t>
      </w:r>
      <w:r w:rsidR="00AB03D3">
        <w:rPr>
          <w:sz w:val="24"/>
        </w:rPr>
        <w:t xml:space="preserve"> </w:t>
      </w:r>
      <w:r w:rsidRPr="00CE36B9">
        <w:rPr>
          <w:sz w:val="24"/>
        </w:rPr>
        <w:t>x CMAPb e máxima dose de P (12:5) o excesso de P e a intensa fixação do fosfato nos colóides superou o efeito de acidificação pela formação da cloropiromorfita e o pH final foi elevado nos tratamentos 12 e</w:t>
      </w:r>
      <w:r w:rsidR="00AB03D3">
        <w:rPr>
          <w:sz w:val="24"/>
        </w:rPr>
        <w:t xml:space="preserve"> </w:t>
      </w:r>
      <w:r w:rsidRPr="00CE36B9">
        <w:rPr>
          <w:sz w:val="24"/>
        </w:rPr>
        <w:t>16 para o LV e 28 e 32 para o NV</w:t>
      </w:r>
      <w:r w:rsidR="00AB03D3">
        <w:rPr>
          <w:sz w:val="24"/>
        </w:rPr>
        <w:t>.</w:t>
      </w:r>
      <w:r w:rsidR="004A2A73">
        <w:rPr>
          <w:sz w:val="24"/>
        </w:rPr>
        <w:t xml:space="preserve"> </w:t>
      </w:r>
    </w:p>
    <w:p w:rsidR="00CE36B9" w:rsidRPr="00CE36B9" w:rsidRDefault="00CE36B9" w:rsidP="00222900">
      <w:pPr>
        <w:spacing w:after="0"/>
        <w:rPr>
          <w:sz w:val="24"/>
        </w:rPr>
      </w:pPr>
    </w:p>
    <w:p w:rsidR="00CE36B9" w:rsidRPr="00382FE0" w:rsidRDefault="00CE36B9" w:rsidP="00667271">
      <w:pPr>
        <w:pStyle w:val="Subttulo"/>
        <w:spacing w:after="0" w:line="360" w:lineRule="auto"/>
        <w:jc w:val="left"/>
        <w:rPr>
          <w:i/>
          <w:shd w:val="clear" w:color="auto" w:fill="FF0000"/>
        </w:rPr>
      </w:pPr>
      <w:bookmarkStart w:id="17" w:name="_Toc443247129"/>
      <w:r w:rsidRPr="00382FE0">
        <w:rPr>
          <w:rStyle w:val="TtulodoLivro"/>
          <w:rFonts w:ascii="Times New Roman" w:hAnsi="Times New Roman"/>
          <w:i w:val="0"/>
          <w:spacing w:val="0"/>
        </w:rPr>
        <w:t>2.3.3. Eficiência das Doses de P na Redução dos Teores de Pb</w:t>
      </w:r>
      <w:bookmarkEnd w:id="17"/>
      <w:r w:rsidR="00454AAE">
        <w:rPr>
          <w:rStyle w:val="TtulodoLivro"/>
          <w:rFonts w:ascii="Times New Roman" w:hAnsi="Times New Roman"/>
          <w:i w:val="0"/>
          <w:spacing w:val="0"/>
        </w:rPr>
        <w:t xml:space="preserve"> na </w:t>
      </w:r>
      <w:r w:rsidR="00454AAE" w:rsidRPr="00382FE0">
        <w:rPr>
          <w:rStyle w:val="TtulodoLivro"/>
          <w:rFonts w:ascii="Times New Roman" w:hAnsi="Times New Roman"/>
          <w:i w:val="0"/>
          <w:spacing w:val="0"/>
        </w:rPr>
        <w:t xml:space="preserve">Solução </w:t>
      </w:r>
      <w:r w:rsidR="00454AAE">
        <w:rPr>
          <w:rStyle w:val="TtulodoLivro"/>
          <w:rFonts w:ascii="Times New Roman" w:hAnsi="Times New Roman"/>
          <w:i w:val="0"/>
          <w:spacing w:val="0"/>
        </w:rPr>
        <w:t xml:space="preserve">do </w:t>
      </w:r>
      <w:r w:rsidR="00454AAE" w:rsidRPr="00382FE0">
        <w:rPr>
          <w:rStyle w:val="TtulodoLivro"/>
          <w:rFonts w:ascii="Times New Roman" w:hAnsi="Times New Roman"/>
          <w:i w:val="0"/>
          <w:spacing w:val="0"/>
        </w:rPr>
        <w:t>Solo</w:t>
      </w:r>
      <w:r w:rsidR="00454AAE">
        <w:rPr>
          <w:rStyle w:val="TtulodoLivro"/>
          <w:rFonts w:ascii="Times New Roman" w:hAnsi="Times New Roman"/>
          <w:i w:val="0"/>
          <w:spacing w:val="0"/>
        </w:rPr>
        <w:t xml:space="preserve"> </w:t>
      </w:r>
    </w:p>
    <w:p w:rsidR="00CE36B9" w:rsidRPr="00CE36B9" w:rsidRDefault="00CE36B9" w:rsidP="00222900">
      <w:pPr>
        <w:spacing w:after="0" w:line="360" w:lineRule="auto"/>
        <w:ind w:left="-6" w:right="45" w:firstLine="709"/>
        <w:jc w:val="both"/>
        <w:rPr>
          <w:sz w:val="24"/>
        </w:rPr>
      </w:pPr>
      <w:r w:rsidRPr="00CE36B9">
        <w:rPr>
          <w:sz w:val="24"/>
        </w:rPr>
        <w:t>Os teores de Pb</w:t>
      </w:r>
      <w:r w:rsidRPr="00CE36B9">
        <w:rPr>
          <w:sz w:val="24"/>
          <w:vertAlign w:val="superscript"/>
        </w:rPr>
        <w:t>2+</w:t>
      </w:r>
      <w:r w:rsidRPr="00CE36B9">
        <w:rPr>
          <w:sz w:val="24"/>
        </w:rPr>
        <w:t xml:space="preserve"> da solução de equilíbrio de ambos os solos </w:t>
      </w:r>
      <w:r w:rsidR="004C1241">
        <w:rPr>
          <w:sz w:val="24"/>
        </w:rPr>
        <w:t xml:space="preserve">e valores de pH </w:t>
      </w:r>
      <w:r w:rsidRPr="00CE36B9">
        <w:rPr>
          <w:sz w:val="24"/>
        </w:rPr>
        <w:t xml:space="preserve">reduziram com a aplicação das doses crescentes de P aos 60 dias de incubação com Pb (Figura 2). Aos 311 dias de incubação com Pb o comportamento foi semelhante. </w:t>
      </w:r>
      <w:r w:rsidR="00454AAE" w:rsidRPr="00CE36B9">
        <w:rPr>
          <w:sz w:val="24"/>
        </w:rPr>
        <w:t xml:space="preserve">A estabilização de Pb via aplicação de P tem se mostrado eficiente formando precipitados estáveis em solos (Cao </w:t>
      </w:r>
      <w:r w:rsidR="00454AAE" w:rsidRPr="00CE36B9">
        <w:rPr>
          <w:i/>
          <w:sz w:val="24"/>
        </w:rPr>
        <w:t>et al</w:t>
      </w:r>
      <w:r w:rsidR="00454AAE" w:rsidRPr="00CE36B9">
        <w:rPr>
          <w:sz w:val="24"/>
        </w:rPr>
        <w:t xml:space="preserve">., 2009; Jiang </w:t>
      </w:r>
      <w:r w:rsidR="00454AAE" w:rsidRPr="00CE36B9">
        <w:rPr>
          <w:i/>
          <w:sz w:val="24"/>
        </w:rPr>
        <w:t>et al</w:t>
      </w:r>
      <w:r w:rsidR="00454AAE" w:rsidRPr="00CE36B9">
        <w:rPr>
          <w:sz w:val="24"/>
        </w:rPr>
        <w:t xml:space="preserve">., 2012) e em meio aquoso (Scheckel &amp; Ryan, 2002) contaminados. </w:t>
      </w:r>
      <w:r w:rsidRPr="00CE36B9">
        <w:rPr>
          <w:sz w:val="24"/>
        </w:rPr>
        <w:t>A elevação do pH do solo para 7,0 favoreceu a remoção do Pb da solução, antes mesmo da aplicação do P (dose zero</w:t>
      </w:r>
      <w:r w:rsidR="00454AAE">
        <w:rPr>
          <w:sz w:val="24"/>
        </w:rPr>
        <w:t xml:space="preserve"> - 30 dias de incubação com Pb</w:t>
      </w:r>
      <w:r w:rsidRPr="00CE36B9">
        <w:rPr>
          <w:sz w:val="24"/>
        </w:rPr>
        <w:t xml:space="preserve">). </w:t>
      </w:r>
    </w:p>
    <w:p w:rsidR="00CE36B9" w:rsidRPr="00CE36B9" w:rsidRDefault="00CE36B9" w:rsidP="00222900">
      <w:pPr>
        <w:spacing w:before="80" w:after="0"/>
        <w:ind w:left="-6" w:right="45" w:firstLine="709"/>
        <w:jc w:val="both"/>
        <w:rPr>
          <w:sz w:val="24"/>
        </w:rPr>
      </w:pPr>
    </w:p>
    <w:p w:rsidR="00667271" w:rsidRDefault="00E51B11" w:rsidP="00222900">
      <w:pPr>
        <w:spacing w:after="0" w:line="240" w:lineRule="auto"/>
        <w:ind w:right="45"/>
        <w:jc w:val="center"/>
        <w:rPr>
          <w:b/>
          <w:sz w:val="24"/>
        </w:rPr>
      </w:pPr>
      <w:r>
        <w:rPr>
          <w:noProof/>
          <w:sz w:val="24"/>
          <w:lang w:val="en-US" w:eastAsia="en-US"/>
        </w:rPr>
        <w:drawing>
          <wp:inline distT="0" distB="0" distL="0" distR="0">
            <wp:extent cx="5505450" cy="3829050"/>
            <wp:effectExtent l="19050" t="0" r="0" b="0"/>
            <wp:docPr id="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9" cstate="print"/>
                    <a:srcRect/>
                    <a:stretch>
                      <a:fillRect/>
                    </a:stretch>
                  </pic:blipFill>
                  <pic:spPr bwMode="auto">
                    <a:xfrm>
                      <a:off x="0" y="0"/>
                      <a:ext cx="5505450" cy="3829050"/>
                    </a:xfrm>
                    <a:prstGeom prst="rect">
                      <a:avLst/>
                    </a:prstGeom>
                    <a:noFill/>
                    <a:ln w="9525">
                      <a:noFill/>
                      <a:miter lim="800000"/>
                      <a:headEnd/>
                      <a:tailEnd/>
                    </a:ln>
                  </pic:spPr>
                </pic:pic>
              </a:graphicData>
            </a:graphic>
          </wp:inline>
        </w:drawing>
      </w:r>
    </w:p>
    <w:p w:rsidR="00CE36B9" w:rsidRPr="00CE36B9" w:rsidRDefault="00CE36B9" w:rsidP="00F90138">
      <w:pPr>
        <w:spacing w:before="80" w:line="240" w:lineRule="auto"/>
        <w:ind w:right="45"/>
        <w:jc w:val="both"/>
        <w:rPr>
          <w:sz w:val="24"/>
        </w:rPr>
      </w:pPr>
      <w:r w:rsidRPr="00667271">
        <w:rPr>
          <w:b/>
          <w:sz w:val="24"/>
        </w:rPr>
        <w:t>Figura 2.</w:t>
      </w:r>
      <w:r w:rsidRPr="00CE36B9">
        <w:rPr>
          <w:sz w:val="24"/>
        </w:rPr>
        <w:t xml:space="preserve"> </w:t>
      </w:r>
      <w:r w:rsidRPr="00222900">
        <w:rPr>
          <w:sz w:val="24"/>
        </w:rPr>
        <w:t>Análise de regressão do teor de Pb</w:t>
      </w:r>
      <w:r w:rsidRPr="00222900">
        <w:rPr>
          <w:sz w:val="24"/>
          <w:vertAlign w:val="superscript"/>
        </w:rPr>
        <w:t>2+</w:t>
      </w:r>
      <w:r w:rsidRPr="00222900">
        <w:rPr>
          <w:sz w:val="24"/>
        </w:rPr>
        <w:t xml:space="preserve"> na solução de equilíbrio em função das doses de P aos 60 e 311 dias de incubação com Pb. (A) dose de 1 vez a CMAPb para o Latossolo Vermelho (LV). (B) dose de 1 vez a CMAPb para o Nitossolo Vermelho (NV). (C) dose de 5 vezes a CMAPb para o Latossolo Vermelho (LV). (D) dose de 5 vezes a CMAPb para o </w:t>
      </w:r>
      <w:r w:rsidRPr="00222900">
        <w:rPr>
          <w:sz w:val="24"/>
        </w:rPr>
        <w:lastRenderedPageBreak/>
        <w:t>Nitossolo Vermelho (NV).</w:t>
      </w:r>
      <w:r w:rsidR="00D166AD" w:rsidRPr="00222900">
        <w:rPr>
          <w:sz w:val="24"/>
        </w:rPr>
        <w:t xml:space="preserve"> </w:t>
      </w:r>
      <w:r w:rsidRPr="00222900">
        <w:rPr>
          <w:sz w:val="24"/>
        </w:rPr>
        <w:t>A dose zero corresponde à média do teor de Pb</w:t>
      </w:r>
      <w:r w:rsidRPr="00222900">
        <w:rPr>
          <w:sz w:val="24"/>
          <w:vertAlign w:val="superscript"/>
        </w:rPr>
        <w:t>2+</w:t>
      </w:r>
      <w:r w:rsidRPr="00222900">
        <w:rPr>
          <w:sz w:val="24"/>
        </w:rPr>
        <w:t xml:space="preserve"> aos 30 dias de incubação com Pb (sem adição de P).</w:t>
      </w:r>
    </w:p>
    <w:p w:rsidR="00454AAE" w:rsidRDefault="00454AAE" w:rsidP="00667271">
      <w:pPr>
        <w:spacing w:after="0" w:line="360" w:lineRule="auto"/>
        <w:ind w:firstLine="709"/>
        <w:jc w:val="both"/>
        <w:rPr>
          <w:sz w:val="24"/>
        </w:rPr>
      </w:pPr>
    </w:p>
    <w:p w:rsidR="00CE36B9" w:rsidRPr="00CE36B9" w:rsidRDefault="00CE36B9" w:rsidP="00BD52D6">
      <w:pPr>
        <w:spacing w:after="0" w:line="360" w:lineRule="auto"/>
        <w:ind w:left="-6" w:right="45" w:firstLine="709"/>
        <w:jc w:val="both"/>
        <w:rPr>
          <w:sz w:val="24"/>
        </w:rPr>
      </w:pPr>
      <w:r w:rsidRPr="00CE36B9">
        <w:rPr>
          <w:sz w:val="24"/>
        </w:rPr>
        <w:t xml:space="preserve">Quando comparados os dois solos, diferentemente do LV, não houve interação entre doses de P e os diferentes pH para o NV aos 60 dias. Houve apenas efeito </w:t>
      </w:r>
      <w:r w:rsidR="00B73840">
        <w:rPr>
          <w:sz w:val="24"/>
        </w:rPr>
        <w:t xml:space="preserve">significativo </w:t>
      </w:r>
      <w:r w:rsidRPr="00CE36B9">
        <w:rPr>
          <w:sz w:val="24"/>
        </w:rPr>
        <w:t>sobre níveis de contaminação e, portanto, foi plotada apenas uma curva para os dois pH (Figuras 2B e 2D). Entretanto, aos 311 dias foi verificado efeito das doses de P sobre os níveis de contaminação e também sobre os pH (Figura 2).</w:t>
      </w:r>
    </w:p>
    <w:p w:rsidR="00CE36B9" w:rsidRPr="00CE36B9" w:rsidRDefault="00CE36B9" w:rsidP="00BD52D6">
      <w:pPr>
        <w:spacing w:after="0" w:line="360" w:lineRule="auto"/>
        <w:ind w:left="-6" w:right="45" w:firstLine="709"/>
        <w:jc w:val="both"/>
        <w:rPr>
          <w:sz w:val="24"/>
        </w:rPr>
      </w:pPr>
      <w:r w:rsidRPr="00CE36B9">
        <w:rPr>
          <w:sz w:val="24"/>
        </w:rPr>
        <w:t>O efeito quadrático tanto no solo de textura média (LV), como no de textura muito argilosa (NV), nos dois níveis de contaminação, indica que a partir da dose 6:5 de P (relação molar P:Pb) houve efeito semelhante a maior dose de P (12:5) na redução do Pb em solução, mesmo em cenário de elevada contaminação (5 x CMAPb)</w:t>
      </w:r>
      <w:r w:rsidR="00B73840">
        <w:rPr>
          <w:sz w:val="24"/>
        </w:rPr>
        <w:t xml:space="preserve"> </w:t>
      </w:r>
      <w:r w:rsidR="00B73840" w:rsidRPr="00CE36B9">
        <w:rPr>
          <w:sz w:val="24"/>
        </w:rPr>
        <w:t>(Figura 2)</w:t>
      </w:r>
      <w:r w:rsidRPr="00CE36B9">
        <w:rPr>
          <w:sz w:val="24"/>
        </w:rPr>
        <w:t>. Assim, a dose 6:5 já foi suficiente para promover a remediação dos solos e, desta forma, é a mais indicada pela maior eficiência e menor risco de contaminação de P</w:t>
      </w:r>
      <w:r w:rsidRPr="00B73840">
        <w:rPr>
          <w:sz w:val="24"/>
        </w:rPr>
        <w:t xml:space="preserve"> (Melamed </w:t>
      </w:r>
      <w:r w:rsidRPr="00B73840">
        <w:rPr>
          <w:i/>
          <w:sz w:val="24"/>
        </w:rPr>
        <w:t>et al</w:t>
      </w:r>
      <w:r w:rsidRPr="00B73840">
        <w:rPr>
          <w:sz w:val="24"/>
        </w:rPr>
        <w:t xml:space="preserve">., 2003; Shigaki </w:t>
      </w:r>
      <w:r w:rsidRPr="00B73840">
        <w:rPr>
          <w:i/>
          <w:sz w:val="24"/>
        </w:rPr>
        <w:t>et al</w:t>
      </w:r>
      <w:r w:rsidRPr="00B73840">
        <w:rPr>
          <w:sz w:val="24"/>
        </w:rPr>
        <w:t xml:space="preserve">., 2006). </w:t>
      </w:r>
    </w:p>
    <w:p w:rsidR="00CE36B9" w:rsidRPr="00CE36B9" w:rsidRDefault="00CE36B9" w:rsidP="00BD52D6">
      <w:pPr>
        <w:suppressAutoHyphens w:val="0"/>
        <w:spacing w:after="0" w:line="360" w:lineRule="auto"/>
        <w:rPr>
          <w:sz w:val="24"/>
        </w:rPr>
      </w:pPr>
    </w:p>
    <w:p w:rsidR="00CE36B9" w:rsidRPr="00382FE0" w:rsidRDefault="00CE36B9" w:rsidP="00775DEF">
      <w:pPr>
        <w:pStyle w:val="Subttulo"/>
        <w:spacing w:after="0" w:line="360" w:lineRule="auto"/>
        <w:jc w:val="left"/>
        <w:rPr>
          <w:rStyle w:val="TtulodoLivro"/>
          <w:rFonts w:ascii="Times New Roman" w:hAnsi="Times New Roman"/>
          <w:i w:val="0"/>
          <w:spacing w:val="0"/>
        </w:rPr>
      </w:pPr>
      <w:bookmarkStart w:id="18" w:name="_Toc416859153"/>
      <w:bookmarkStart w:id="19" w:name="_Toc443247130"/>
      <w:r w:rsidRPr="00382FE0">
        <w:rPr>
          <w:rStyle w:val="TtulodoLivro"/>
          <w:rFonts w:ascii="Times New Roman" w:hAnsi="Times New Roman"/>
          <w:i w:val="0"/>
          <w:spacing w:val="0"/>
        </w:rPr>
        <w:t xml:space="preserve">2.3.4. Equilíbrio Químico </w:t>
      </w:r>
      <w:bookmarkEnd w:id="18"/>
      <w:r w:rsidRPr="00382FE0">
        <w:rPr>
          <w:rStyle w:val="TtulodoLivro"/>
          <w:rFonts w:ascii="Times New Roman" w:hAnsi="Times New Roman"/>
          <w:i w:val="0"/>
          <w:spacing w:val="0"/>
        </w:rPr>
        <w:t>da Cloropiromorfita</w:t>
      </w:r>
      <w:bookmarkEnd w:id="19"/>
    </w:p>
    <w:p w:rsidR="00CE36B9" w:rsidRPr="00CE36B9" w:rsidRDefault="00CE36B9" w:rsidP="00BD52D6">
      <w:pPr>
        <w:spacing w:after="0" w:line="360" w:lineRule="auto"/>
        <w:ind w:left="-6" w:right="45" w:firstLine="709"/>
        <w:jc w:val="both"/>
        <w:rPr>
          <w:sz w:val="24"/>
        </w:rPr>
      </w:pPr>
      <w:r w:rsidRPr="00CE36B9">
        <w:rPr>
          <w:sz w:val="24"/>
        </w:rPr>
        <w:t>Após a determinação da atividade do Pb</w:t>
      </w:r>
      <w:r w:rsidRPr="00CE36B9">
        <w:rPr>
          <w:sz w:val="24"/>
          <w:vertAlign w:val="superscript"/>
        </w:rPr>
        <w:t>2+</w:t>
      </w:r>
      <w:r w:rsidRPr="00CE36B9">
        <w:rPr>
          <w:sz w:val="24"/>
        </w:rPr>
        <w:t>e do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00B94D8A" w:rsidRPr="00B94D8A">
        <w:rPr>
          <w:sz w:val="24"/>
        </w:rPr>
        <w:t xml:space="preserve"> </w:t>
      </w:r>
      <w:r w:rsidRPr="00CE36B9">
        <w:rPr>
          <w:sz w:val="24"/>
        </w:rPr>
        <w:t xml:space="preserve">na solução de equilíbrio, através do software Visual MINTEQ, os dados das avaliações aos 60 e 311 </w:t>
      </w:r>
      <w:r w:rsidR="00454AAE">
        <w:rPr>
          <w:sz w:val="24"/>
        </w:rPr>
        <w:t xml:space="preserve">dias de incubação com Pb </w:t>
      </w:r>
      <w:r w:rsidRPr="00CE36B9">
        <w:rPr>
          <w:sz w:val="24"/>
        </w:rPr>
        <w:t xml:space="preserve">foram plotados no diagrama de superfície de resposta da estabilidade da cloropiromorfita (Figuras </w:t>
      </w:r>
      <w:r w:rsidR="00151AEC">
        <w:rPr>
          <w:sz w:val="24"/>
        </w:rPr>
        <w:t>4</w:t>
      </w:r>
      <w:r w:rsidRPr="00CE36B9">
        <w:rPr>
          <w:sz w:val="24"/>
        </w:rPr>
        <w:t xml:space="preserve"> a </w:t>
      </w:r>
      <w:r w:rsidR="00151AEC">
        <w:rPr>
          <w:sz w:val="24"/>
        </w:rPr>
        <w:t>7</w:t>
      </w:r>
      <w:r w:rsidRPr="00CE36B9">
        <w:rPr>
          <w:sz w:val="24"/>
        </w:rPr>
        <w:t>), construídos a partir dos dados de equilíbrio químico apresentados em Lindsay (1979). A espécie de fosfato livre considerada nos diagramas de equilíbrio foi a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por ter sido a de maior ocorrência na solução de equilíbrio nos solos (Tabelas 4 e 5)</w:t>
      </w:r>
      <w:r w:rsidR="00D43844">
        <w:rPr>
          <w:sz w:val="24"/>
        </w:rPr>
        <w:t>.</w:t>
      </w:r>
    </w:p>
    <w:p w:rsidR="00CE36B9" w:rsidRPr="00CE36B9" w:rsidRDefault="00CE36B9" w:rsidP="00667271">
      <w:pPr>
        <w:spacing w:after="0" w:line="360" w:lineRule="auto"/>
        <w:ind w:firstLine="709"/>
        <w:jc w:val="both"/>
        <w:rPr>
          <w:sz w:val="24"/>
        </w:rPr>
      </w:pPr>
      <w:r w:rsidRPr="00CE36B9">
        <w:rPr>
          <w:sz w:val="24"/>
        </w:rPr>
        <w:t>Nos tratamentos com menor nível de contaminação</w:t>
      </w:r>
      <w:r w:rsidR="00B73840">
        <w:rPr>
          <w:sz w:val="24"/>
        </w:rPr>
        <w:t xml:space="preserve"> no LV</w:t>
      </w:r>
      <w:r w:rsidRPr="00CE36B9">
        <w:rPr>
          <w:sz w:val="24"/>
        </w:rPr>
        <w:t>, independentemente do pH inicial do solo, a atividade do Pb</w:t>
      </w:r>
      <w:r w:rsidRPr="00CE36B9">
        <w:rPr>
          <w:sz w:val="24"/>
          <w:vertAlign w:val="superscript"/>
        </w:rPr>
        <w:t>2+</w:t>
      </w:r>
      <w:r w:rsidRPr="00CE36B9">
        <w:rPr>
          <w:sz w:val="24"/>
        </w:rPr>
        <w:t xml:space="preserve"> </w:t>
      </w:r>
      <w:r w:rsidR="00D43844">
        <w:rPr>
          <w:sz w:val="24"/>
        </w:rPr>
        <w:t xml:space="preserve">ficou </w:t>
      </w:r>
      <w:r w:rsidRPr="00CE36B9">
        <w:rPr>
          <w:sz w:val="24"/>
        </w:rPr>
        <w:t>supersaturad</w:t>
      </w:r>
      <w:r w:rsidR="00D43844">
        <w:rPr>
          <w:sz w:val="24"/>
        </w:rPr>
        <w:t>a</w:t>
      </w:r>
      <w:r w:rsidRPr="00CE36B9">
        <w:rPr>
          <w:sz w:val="24"/>
        </w:rPr>
        <w:t xml:space="preserve"> em relação à superfície da cloropiromorfita (Figura </w:t>
      </w:r>
      <w:r w:rsidR="00151AEC">
        <w:rPr>
          <w:sz w:val="24"/>
        </w:rPr>
        <w:t>4</w:t>
      </w:r>
      <w:r w:rsidRPr="00CE36B9">
        <w:rPr>
          <w:sz w:val="24"/>
        </w:rPr>
        <w:t>).</w:t>
      </w:r>
      <w:r w:rsidR="00D43844">
        <w:rPr>
          <w:sz w:val="24"/>
        </w:rPr>
        <w:t xml:space="preserve"> C</w:t>
      </w:r>
      <w:r w:rsidRPr="00CE36B9">
        <w:rPr>
          <w:sz w:val="24"/>
        </w:rPr>
        <w:t>om a elevação das doses de P verificou-se um afastamento em relação à superfície (maior supersaturação), exceto no tratamento 8. Mesmo tendo mais Pb</w:t>
      </w:r>
      <w:r w:rsidRPr="00CE36B9">
        <w:rPr>
          <w:sz w:val="24"/>
          <w:vertAlign w:val="superscript"/>
        </w:rPr>
        <w:t>2+</w:t>
      </w:r>
      <w:r w:rsidRPr="00CE36B9">
        <w:rPr>
          <w:sz w:val="24"/>
        </w:rPr>
        <w:t xml:space="preserve"> e H</w:t>
      </w:r>
      <w:r w:rsidRPr="00CE36B9">
        <w:rPr>
          <w:sz w:val="24"/>
          <w:vertAlign w:val="subscript"/>
        </w:rPr>
        <w:t>2</w:t>
      </w:r>
      <w:r w:rsidRPr="00CE36B9">
        <w:rPr>
          <w:sz w:val="24"/>
        </w:rPr>
        <w:t>PO</w:t>
      </w:r>
      <w:r w:rsidRPr="00CE36B9">
        <w:rPr>
          <w:sz w:val="24"/>
          <w:vertAlign w:val="subscript"/>
        </w:rPr>
        <w:t>4</w:t>
      </w:r>
      <w:r w:rsidRPr="00CE36B9">
        <w:rPr>
          <w:sz w:val="24"/>
          <w:vertAlign w:val="superscript"/>
        </w:rPr>
        <w:t>-</w:t>
      </w:r>
      <w:r w:rsidRPr="00CE36B9">
        <w:rPr>
          <w:sz w:val="24"/>
        </w:rPr>
        <w:t xml:space="preserve">, o que resultaria em mais supersaturação em relação a cloropiromorfita (ponto mais distante da superfície), o pH no </w:t>
      </w:r>
      <w:r w:rsidR="00D43844">
        <w:rPr>
          <w:sz w:val="24"/>
        </w:rPr>
        <w:t xml:space="preserve">tratamento </w:t>
      </w:r>
      <w:r w:rsidRPr="00CE36B9">
        <w:rPr>
          <w:sz w:val="24"/>
        </w:rPr>
        <w:t>8 reduziu bastante</w:t>
      </w:r>
      <w:r w:rsidR="00905F61">
        <w:rPr>
          <w:sz w:val="24"/>
        </w:rPr>
        <w:t xml:space="preserve"> (</w:t>
      </w:r>
      <w:r w:rsidR="00905F61" w:rsidRPr="00905F61">
        <w:rPr>
          <w:sz w:val="24"/>
          <w:highlight w:val="yellow"/>
        </w:rPr>
        <w:t>QUAL pH???</w:t>
      </w:r>
      <w:r w:rsidR="00905F61">
        <w:rPr>
          <w:sz w:val="24"/>
        </w:rPr>
        <w:t>)</w:t>
      </w:r>
      <w:r w:rsidRPr="00CE36B9">
        <w:rPr>
          <w:sz w:val="24"/>
        </w:rPr>
        <w:t>, o que fez a maior aproximação do ponto à superfície</w:t>
      </w:r>
      <w:r w:rsidR="00D43844">
        <w:rPr>
          <w:sz w:val="24"/>
        </w:rPr>
        <w:t xml:space="preserve"> da cloropiromorfita</w:t>
      </w:r>
      <w:r w:rsidRPr="00CE36B9">
        <w:rPr>
          <w:sz w:val="24"/>
        </w:rPr>
        <w:t>. Quanto menor o pH, menor a estabilidade da cloropiromorfita (superfície mais alta) e maior o teor de Pb</w:t>
      </w:r>
      <w:r w:rsidRPr="00CE36B9">
        <w:rPr>
          <w:sz w:val="24"/>
          <w:vertAlign w:val="superscript"/>
        </w:rPr>
        <w:t>2+</w:t>
      </w:r>
      <w:r w:rsidRPr="00CE36B9">
        <w:rPr>
          <w:sz w:val="24"/>
        </w:rPr>
        <w:t xml:space="preserve"> mantido em solução por esse mineral nas condições de equilíbrio (Lindsay, 1979).</w:t>
      </w:r>
    </w:p>
    <w:p w:rsidR="00C93D56" w:rsidRDefault="00E51B11" w:rsidP="000174EE">
      <w:pPr>
        <w:spacing w:before="80" w:after="0"/>
        <w:ind w:right="45"/>
        <w:jc w:val="both"/>
        <w:rPr>
          <w:rFonts w:cs="Times New Roman"/>
          <w:sz w:val="24"/>
          <w:lang w:val="en-US"/>
        </w:rPr>
      </w:pPr>
      <w:r>
        <w:rPr>
          <w:rFonts w:cs="Times New Roman"/>
          <w:noProof/>
          <w:sz w:val="24"/>
          <w:lang w:val="en-US" w:eastAsia="en-US"/>
        </w:rPr>
        <w:lastRenderedPageBreak/>
        <w:drawing>
          <wp:inline distT="0" distB="0" distL="0" distR="0">
            <wp:extent cx="5762625" cy="3876675"/>
            <wp:effectExtent l="19050" t="0" r="9525" b="0"/>
            <wp:docPr id="2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0" cstate="print"/>
                    <a:srcRect/>
                    <a:stretch>
                      <a:fillRect/>
                    </a:stretch>
                  </pic:blipFill>
                  <pic:spPr bwMode="auto">
                    <a:xfrm>
                      <a:off x="0" y="0"/>
                      <a:ext cx="5762625" cy="3876675"/>
                    </a:xfrm>
                    <a:prstGeom prst="rect">
                      <a:avLst/>
                    </a:prstGeom>
                    <a:noFill/>
                    <a:ln w="9525">
                      <a:noFill/>
                      <a:miter lim="800000"/>
                      <a:headEnd/>
                      <a:tailEnd/>
                    </a:ln>
                  </pic:spPr>
                </pic:pic>
              </a:graphicData>
            </a:graphic>
          </wp:inline>
        </w:drawing>
      </w:r>
    </w:p>
    <w:p w:rsidR="000174EE" w:rsidRPr="000174EE" w:rsidRDefault="000174EE" w:rsidP="00F90138">
      <w:pPr>
        <w:spacing w:line="240" w:lineRule="auto"/>
        <w:jc w:val="both"/>
        <w:rPr>
          <w:sz w:val="24"/>
        </w:rPr>
      </w:pPr>
      <w:r w:rsidRPr="00667271">
        <w:rPr>
          <w:b/>
          <w:sz w:val="24"/>
        </w:rPr>
        <w:t xml:space="preserve">Figura </w:t>
      </w:r>
      <w:r w:rsidR="00047A8E">
        <w:rPr>
          <w:b/>
          <w:sz w:val="24"/>
        </w:rPr>
        <w:t>4</w:t>
      </w:r>
      <w:r w:rsidRPr="00667271">
        <w:rPr>
          <w:b/>
          <w:sz w:val="24"/>
        </w:rPr>
        <w:t>.</w:t>
      </w:r>
      <w:r w:rsidRPr="000174EE">
        <w:rPr>
          <w:sz w:val="24"/>
        </w:rPr>
        <w:t xml:space="preserve"> Dados da solução de equilíbrio do LV aos 60 dias de incubação com Pb plotados na superfície de resposta dos dados teóricos da cloropiromorfita (Lindsay, 1979), em função do pH, log da atividade de Pb</w:t>
      </w:r>
      <w:r w:rsidRPr="000174EE">
        <w:rPr>
          <w:sz w:val="24"/>
          <w:vertAlign w:val="superscript"/>
        </w:rPr>
        <w:t>2+</w:t>
      </w:r>
      <w:r w:rsidRPr="000174EE">
        <w:rPr>
          <w:sz w:val="24"/>
        </w:rPr>
        <w:t xml:space="preserve"> e H</w:t>
      </w:r>
      <w:r w:rsidRPr="000174EE">
        <w:rPr>
          <w:sz w:val="24"/>
          <w:vertAlign w:val="subscript"/>
        </w:rPr>
        <w:t>2</w:t>
      </w:r>
      <w:r w:rsidRPr="000174EE">
        <w:rPr>
          <w:sz w:val="24"/>
        </w:rPr>
        <w:t>PO</w:t>
      </w:r>
      <w:r w:rsidRPr="000174EE">
        <w:rPr>
          <w:sz w:val="24"/>
          <w:vertAlign w:val="subscript"/>
        </w:rPr>
        <w:t>4</w:t>
      </w:r>
      <w:r w:rsidRPr="000174EE">
        <w:rPr>
          <w:sz w:val="24"/>
          <w:vertAlign w:val="superscript"/>
        </w:rPr>
        <w:t>-</w:t>
      </w:r>
      <w:r w:rsidRPr="000174EE">
        <w:rPr>
          <w:sz w:val="24"/>
        </w:rPr>
        <w:t>. Tratamentos T1 a T4: dose de 1 x CMAPb no pH natural; Tratamentos T5 a T8: dose de 1 x CMAPb no pH 7,0; Tratamentos T9 a T12: dose de 5 x CMAPb no pH natural; Tratamentos T13 a T16: dose de 5 x CMAPb no pH 7,0.</w:t>
      </w:r>
    </w:p>
    <w:p w:rsidR="000174EE" w:rsidRPr="000174EE" w:rsidRDefault="000174EE" w:rsidP="00667271">
      <w:pPr>
        <w:spacing w:after="0" w:line="360" w:lineRule="auto"/>
        <w:rPr>
          <w:sz w:val="24"/>
        </w:rPr>
      </w:pPr>
    </w:p>
    <w:p w:rsidR="000174EE" w:rsidRPr="000174EE" w:rsidRDefault="000174EE" w:rsidP="00BD52D6">
      <w:pPr>
        <w:spacing w:after="0" w:line="360" w:lineRule="auto"/>
        <w:ind w:left="-6" w:right="45" w:firstLine="709"/>
        <w:jc w:val="both"/>
        <w:rPr>
          <w:sz w:val="24"/>
        </w:rPr>
      </w:pPr>
      <w:r w:rsidRPr="000174EE">
        <w:rPr>
          <w:sz w:val="24"/>
        </w:rPr>
        <w:t xml:space="preserve">Na maior dose de Pb (tratamentos 9 a 16) </w:t>
      </w:r>
      <w:r w:rsidR="00D43844">
        <w:rPr>
          <w:sz w:val="24"/>
        </w:rPr>
        <w:t xml:space="preserve">também </w:t>
      </w:r>
      <w:r w:rsidRPr="000174EE">
        <w:rPr>
          <w:sz w:val="24"/>
        </w:rPr>
        <w:t>houve redução da atividade do Pb</w:t>
      </w:r>
      <w:r w:rsidRPr="000174EE">
        <w:rPr>
          <w:sz w:val="24"/>
          <w:vertAlign w:val="superscript"/>
        </w:rPr>
        <w:t>2+</w:t>
      </w:r>
      <w:r w:rsidRPr="000174EE">
        <w:rPr>
          <w:sz w:val="24"/>
        </w:rPr>
        <w:t xml:space="preserve"> mantida em solução com o aumento das doses de P. Todos os tratamentos ficaram supersaturados em relação à superfície da cloropiromorfita, sugerindo a formação deste mineral independentemente da condição de pH inicial das amostras, nível de contaminação e dose de P (Figura </w:t>
      </w:r>
      <w:r w:rsidR="00047A8E">
        <w:rPr>
          <w:sz w:val="24"/>
        </w:rPr>
        <w:t>4</w:t>
      </w:r>
      <w:r w:rsidRPr="000174EE">
        <w:rPr>
          <w:sz w:val="24"/>
        </w:rPr>
        <w:t xml:space="preserve">). Para os tratamentos do NV (17 a 32) </w:t>
      </w:r>
      <w:r w:rsidR="00D43844">
        <w:rPr>
          <w:sz w:val="24"/>
        </w:rPr>
        <w:t xml:space="preserve">(Figura 5) </w:t>
      </w:r>
      <w:r w:rsidRPr="000174EE">
        <w:rPr>
          <w:sz w:val="24"/>
        </w:rPr>
        <w:t xml:space="preserve">o </w:t>
      </w:r>
      <w:r w:rsidR="00D43844">
        <w:rPr>
          <w:sz w:val="24"/>
        </w:rPr>
        <w:t xml:space="preserve">comportamento foi semelhante em relação ao LV. </w:t>
      </w:r>
      <w:r w:rsidRPr="000174EE">
        <w:rPr>
          <w:sz w:val="24"/>
        </w:rPr>
        <w:t>Apenas os tratamentos que receberam a maior dose de P tenderam ao equilíbrio, com maior aproximação da superfície de resposta</w:t>
      </w:r>
      <w:r w:rsidR="00D43844">
        <w:rPr>
          <w:sz w:val="24"/>
        </w:rPr>
        <w:t xml:space="preserve"> da cloropiromorfita</w:t>
      </w:r>
      <w:r w:rsidRPr="000174EE">
        <w:rPr>
          <w:sz w:val="24"/>
        </w:rPr>
        <w:t>.</w:t>
      </w:r>
    </w:p>
    <w:p w:rsidR="000174EE" w:rsidRPr="001C4454" w:rsidRDefault="000174EE" w:rsidP="00667271">
      <w:pPr>
        <w:spacing w:before="80" w:after="0" w:line="360" w:lineRule="auto"/>
        <w:ind w:right="45"/>
        <w:jc w:val="both"/>
        <w:rPr>
          <w:rFonts w:cs="Times New Roman"/>
          <w:sz w:val="24"/>
        </w:rPr>
      </w:pPr>
    </w:p>
    <w:p w:rsidR="000174EE" w:rsidRDefault="00E51B11" w:rsidP="000174EE">
      <w:pPr>
        <w:spacing w:before="80" w:after="0"/>
        <w:ind w:right="45"/>
        <w:jc w:val="both"/>
        <w:rPr>
          <w:rFonts w:cs="Times New Roman"/>
          <w:sz w:val="24"/>
          <w:lang w:val="en-US"/>
        </w:rPr>
      </w:pPr>
      <w:r>
        <w:rPr>
          <w:rFonts w:cs="Times New Roman"/>
          <w:noProof/>
          <w:sz w:val="24"/>
          <w:lang w:val="en-US" w:eastAsia="en-US"/>
        </w:rPr>
        <w:lastRenderedPageBreak/>
        <w:drawing>
          <wp:inline distT="0" distB="0" distL="0" distR="0">
            <wp:extent cx="5762625" cy="3810000"/>
            <wp:effectExtent l="19050" t="0" r="9525" b="0"/>
            <wp:docPr id="2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1" cstate="print"/>
                    <a:srcRect/>
                    <a:stretch>
                      <a:fillRect/>
                    </a:stretch>
                  </pic:blipFill>
                  <pic:spPr bwMode="auto">
                    <a:xfrm>
                      <a:off x="0" y="0"/>
                      <a:ext cx="5762625" cy="3810000"/>
                    </a:xfrm>
                    <a:prstGeom prst="rect">
                      <a:avLst/>
                    </a:prstGeom>
                    <a:noFill/>
                    <a:ln w="9525">
                      <a:noFill/>
                      <a:miter lim="800000"/>
                      <a:headEnd/>
                      <a:tailEnd/>
                    </a:ln>
                  </pic:spPr>
                </pic:pic>
              </a:graphicData>
            </a:graphic>
          </wp:inline>
        </w:drawing>
      </w:r>
    </w:p>
    <w:p w:rsidR="000174EE" w:rsidRPr="000174EE" w:rsidRDefault="000174EE" w:rsidP="00F90138">
      <w:pPr>
        <w:spacing w:line="240" w:lineRule="auto"/>
        <w:jc w:val="both"/>
        <w:rPr>
          <w:sz w:val="24"/>
        </w:rPr>
      </w:pPr>
      <w:r w:rsidRPr="00667271">
        <w:rPr>
          <w:b/>
          <w:sz w:val="24"/>
        </w:rPr>
        <w:t xml:space="preserve">Figura </w:t>
      </w:r>
      <w:r w:rsidR="00047A8E">
        <w:rPr>
          <w:b/>
          <w:sz w:val="24"/>
        </w:rPr>
        <w:t>5</w:t>
      </w:r>
      <w:r w:rsidRPr="00667271">
        <w:rPr>
          <w:b/>
          <w:sz w:val="24"/>
        </w:rPr>
        <w:t>.</w:t>
      </w:r>
      <w:r w:rsidRPr="000174EE">
        <w:rPr>
          <w:sz w:val="24"/>
        </w:rPr>
        <w:t xml:space="preserve"> Dados da solução de equilíbrio do NV aos 60 dias de incubação com Pb plotados na superfície de resposta dos dados teóricos da cloropiromorfita (Lindsay, 1979), em função do pH, log da atividade de Pb</w:t>
      </w:r>
      <w:r w:rsidRPr="000174EE">
        <w:rPr>
          <w:sz w:val="24"/>
          <w:vertAlign w:val="superscript"/>
        </w:rPr>
        <w:t>2+</w:t>
      </w:r>
      <w:r w:rsidRPr="000174EE">
        <w:rPr>
          <w:sz w:val="24"/>
        </w:rPr>
        <w:t xml:space="preserve"> e H</w:t>
      </w:r>
      <w:r w:rsidRPr="000174EE">
        <w:rPr>
          <w:sz w:val="24"/>
          <w:vertAlign w:val="subscript"/>
        </w:rPr>
        <w:t>2</w:t>
      </w:r>
      <w:r w:rsidRPr="000174EE">
        <w:rPr>
          <w:sz w:val="24"/>
        </w:rPr>
        <w:t>PO</w:t>
      </w:r>
      <w:r w:rsidRPr="000174EE">
        <w:rPr>
          <w:sz w:val="24"/>
          <w:vertAlign w:val="subscript"/>
        </w:rPr>
        <w:t>4</w:t>
      </w:r>
      <w:r w:rsidRPr="000174EE">
        <w:rPr>
          <w:sz w:val="24"/>
          <w:vertAlign w:val="superscript"/>
        </w:rPr>
        <w:t>-</w:t>
      </w:r>
      <w:r w:rsidRPr="000174EE">
        <w:rPr>
          <w:sz w:val="24"/>
        </w:rPr>
        <w:t>. Tratamentos T1 a T4: dose de 1 x CMAPb no pH natural; Tratamentos T5 a T8: dose de 1 x CMAPb no pH 7,0; Tratamentos T9 a T12: dose de 5 x CMAPb no pH natural; Tratamentos T13 aT16: dose de 5 x CMAPb no pH 7,0.</w:t>
      </w:r>
    </w:p>
    <w:p w:rsidR="000174EE" w:rsidRPr="000174EE" w:rsidRDefault="000174EE" w:rsidP="00667271">
      <w:pPr>
        <w:spacing w:after="0" w:line="360" w:lineRule="auto"/>
        <w:ind w:left="-6" w:right="45" w:firstLine="709"/>
        <w:jc w:val="both"/>
        <w:rPr>
          <w:sz w:val="24"/>
        </w:rPr>
      </w:pPr>
    </w:p>
    <w:p w:rsidR="000174EE" w:rsidRPr="000174EE" w:rsidRDefault="000174EE" w:rsidP="007B69A8">
      <w:pPr>
        <w:spacing w:after="0" w:line="360" w:lineRule="auto"/>
        <w:ind w:firstLine="709"/>
        <w:jc w:val="both"/>
        <w:rPr>
          <w:sz w:val="24"/>
        </w:rPr>
      </w:pPr>
      <w:r w:rsidRPr="000174EE">
        <w:rPr>
          <w:sz w:val="24"/>
        </w:rPr>
        <w:t>A obtenção de índices de saturação é eficiente na predição da formação de minerais. Índices positivos indicam a supersaturação, ou seja, há predomínio de reagentes em so</w:t>
      </w:r>
      <w:r w:rsidR="009F5C42">
        <w:rPr>
          <w:sz w:val="24"/>
        </w:rPr>
        <w:t>lução, portanto, há tendência da precipitação da cloropiromorfita</w:t>
      </w:r>
      <w:r w:rsidR="000D15A4">
        <w:rPr>
          <w:sz w:val="24"/>
        </w:rPr>
        <w:t>. Í</w:t>
      </w:r>
      <w:r w:rsidRPr="000174EE">
        <w:rPr>
          <w:sz w:val="24"/>
        </w:rPr>
        <w:t xml:space="preserve">ndices negativos indicam subsaturação, com tendência </w:t>
      </w:r>
      <w:r w:rsidR="009F5C42">
        <w:rPr>
          <w:sz w:val="24"/>
        </w:rPr>
        <w:t>de</w:t>
      </w:r>
      <w:r w:rsidRPr="000174EE">
        <w:rPr>
          <w:sz w:val="24"/>
        </w:rPr>
        <w:t xml:space="preserve"> solubiliza</w:t>
      </w:r>
      <w:r w:rsidR="009F5C42">
        <w:rPr>
          <w:sz w:val="24"/>
        </w:rPr>
        <w:t>ção do mineral (</w:t>
      </w:r>
      <w:r w:rsidR="009F5C42" w:rsidRPr="000174EE">
        <w:rPr>
          <w:sz w:val="24"/>
        </w:rPr>
        <w:t xml:space="preserve">Singh </w:t>
      </w:r>
      <w:r w:rsidR="009F5C42" w:rsidRPr="000174EE">
        <w:rPr>
          <w:i/>
          <w:sz w:val="24"/>
        </w:rPr>
        <w:t>et al</w:t>
      </w:r>
      <w:r w:rsidR="009F5C42">
        <w:rPr>
          <w:sz w:val="24"/>
        </w:rPr>
        <w:t xml:space="preserve">., 2006; </w:t>
      </w:r>
      <w:r w:rsidR="009F5C42" w:rsidRPr="000174EE">
        <w:rPr>
          <w:sz w:val="24"/>
        </w:rPr>
        <w:t xml:space="preserve">Cao </w:t>
      </w:r>
      <w:r w:rsidR="009F5C42" w:rsidRPr="000174EE">
        <w:rPr>
          <w:i/>
          <w:sz w:val="24"/>
        </w:rPr>
        <w:t>et al</w:t>
      </w:r>
      <w:r w:rsidR="009F5C42" w:rsidRPr="000174EE">
        <w:rPr>
          <w:sz w:val="24"/>
        </w:rPr>
        <w:t>.</w:t>
      </w:r>
      <w:r w:rsidR="009F5C42">
        <w:rPr>
          <w:sz w:val="24"/>
        </w:rPr>
        <w:t xml:space="preserve">, </w:t>
      </w:r>
      <w:r w:rsidR="009F5C42" w:rsidRPr="000174EE">
        <w:rPr>
          <w:sz w:val="24"/>
        </w:rPr>
        <w:t>2009)</w:t>
      </w:r>
      <w:r w:rsidRPr="000174EE">
        <w:rPr>
          <w:sz w:val="24"/>
        </w:rPr>
        <w:t xml:space="preserve">. Quanto mais próximo a zero mais próximo da condição de equilíbrio entre a solução e a fase mineral (Lindsay, 1979). </w:t>
      </w:r>
    </w:p>
    <w:p w:rsidR="000D15A4" w:rsidRPr="000174EE" w:rsidRDefault="00E9709A" w:rsidP="000D15A4">
      <w:pPr>
        <w:spacing w:after="0" w:line="360" w:lineRule="auto"/>
        <w:ind w:left="-6" w:right="45" w:firstLine="709"/>
        <w:jc w:val="both"/>
        <w:rPr>
          <w:sz w:val="24"/>
        </w:rPr>
      </w:pPr>
      <w:r w:rsidRPr="000174EE">
        <w:rPr>
          <w:sz w:val="24"/>
        </w:rPr>
        <w:t>Aos 311 dias verificou-se a manutenção do decréscimo da atividade de Pb</w:t>
      </w:r>
      <w:r w:rsidRPr="000174EE">
        <w:rPr>
          <w:sz w:val="24"/>
          <w:vertAlign w:val="superscript"/>
        </w:rPr>
        <w:t>2+</w:t>
      </w:r>
      <w:r w:rsidRPr="000174EE">
        <w:rPr>
          <w:sz w:val="24"/>
        </w:rPr>
        <w:t xml:space="preserve"> com o aumento das doses de P nos dois solos, sobretudo no maior nível de contaminação (Figuras </w:t>
      </w:r>
      <w:r w:rsidR="00047A8E">
        <w:rPr>
          <w:sz w:val="24"/>
        </w:rPr>
        <w:t>6</w:t>
      </w:r>
      <w:r w:rsidR="00047A8E" w:rsidRPr="000174EE">
        <w:rPr>
          <w:sz w:val="24"/>
        </w:rPr>
        <w:t xml:space="preserve"> </w:t>
      </w:r>
      <w:r w:rsidRPr="000174EE">
        <w:rPr>
          <w:sz w:val="24"/>
        </w:rPr>
        <w:t xml:space="preserve">e </w:t>
      </w:r>
      <w:r w:rsidR="00047A8E">
        <w:rPr>
          <w:sz w:val="24"/>
        </w:rPr>
        <w:t>7</w:t>
      </w:r>
      <w:r w:rsidRPr="000174EE">
        <w:rPr>
          <w:sz w:val="24"/>
        </w:rPr>
        <w:t>).</w:t>
      </w:r>
      <w:r w:rsidR="000D15A4">
        <w:rPr>
          <w:sz w:val="24"/>
        </w:rPr>
        <w:t xml:space="preserve"> </w:t>
      </w:r>
      <w:r w:rsidR="000D15A4" w:rsidRPr="000174EE">
        <w:rPr>
          <w:sz w:val="24"/>
        </w:rPr>
        <w:t>Contudo, de maneira geral, houve a aproximação dos pontos à superfície de resposta d</w:t>
      </w:r>
      <w:r w:rsidR="000D15A4">
        <w:rPr>
          <w:sz w:val="24"/>
        </w:rPr>
        <w:t>e</w:t>
      </w:r>
      <w:r w:rsidR="000D15A4" w:rsidRPr="000174EE">
        <w:rPr>
          <w:sz w:val="24"/>
        </w:rPr>
        <w:t xml:space="preserve"> estabilidade da cloropiromorfita (menor saturação), quando comparado aos 60 dias, em ambos os solos (Figuras </w:t>
      </w:r>
      <w:r w:rsidR="000D15A4">
        <w:rPr>
          <w:sz w:val="24"/>
        </w:rPr>
        <w:t>6</w:t>
      </w:r>
      <w:r w:rsidR="000D15A4" w:rsidRPr="000174EE">
        <w:rPr>
          <w:sz w:val="24"/>
        </w:rPr>
        <w:t xml:space="preserve"> e </w:t>
      </w:r>
      <w:r w:rsidR="000D15A4">
        <w:rPr>
          <w:sz w:val="24"/>
        </w:rPr>
        <w:t>7</w:t>
      </w:r>
      <w:r w:rsidR="000D15A4" w:rsidRPr="000174EE">
        <w:rPr>
          <w:sz w:val="24"/>
        </w:rPr>
        <w:t xml:space="preserve">). A maior variação foi observada nos tratamentos 5 a 8 que passaram a ficar agrupados com os tratamentos 1 a 4, indicando que o pH tendeu a se estabilizar ao longo do tempo, sugerindo que houve tendência ao equilíbrio do sistema (Figura </w:t>
      </w:r>
      <w:r w:rsidR="000D15A4">
        <w:rPr>
          <w:sz w:val="24"/>
        </w:rPr>
        <w:t>5</w:t>
      </w:r>
      <w:r w:rsidR="000D15A4" w:rsidRPr="000174EE">
        <w:rPr>
          <w:sz w:val="24"/>
        </w:rPr>
        <w:t xml:space="preserve">). Com o passar do tempo, a maior formação da cloropiromorfita reduziu as </w:t>
      </w:r>
      <w:r w:rsidR="000D15A4" w:rsidRPr="000174EE">
        <w:rPr>
          <w:sz w:val="24"/>
        </w:rPr>
        <w:lastRenderedPageBreak/>
        <w:t>concentrações de P e Pb da solução (Tabelas 3 a 6), o que fez a aproximação dos pontos à superfície do mineral, ou seja, passou de uma condição de supersaturação para saturação.</w:t>
      </w:r>
    </w:p>
    <w:p w:rsidR="00E9709A" w:rsidRDefault="00E9709A" w:rsidP="00E9709A">
      <w:pPr>
        <w:spacing w:before="80" w:after="0"/>
        <w:ind w:right="45" w:firstLine="709"/>
        <w:jc w:val="both"/>
        <w:rPr>
          <w:sz w:val="24"/>
        </w:rPr>
      </w:pPr>
    </w:p>
    <w:p w:rsidR="00E9709A" w:rsidRPr="001C4454" w:rsidRDefault="00E9709A" w:rsidP="00E9709A">
      <w:pPr>
        <w:spacing w:before="80" w:after="0"/>
        <w:ind w:right="45" w:firstLine="709"/>
        <w:jc w:val="both"/>
        <w:rPr>
          <w:rFonts w:cs="Times New Roman"/>
          <w:szCs w:val="22"/>
        </w:rPr>
      </w:pPr>
    </w:p>
    <w:p w:rsidR="000174EE" w:rsidRDefault="00E51B11" w:rsidP="000174EE">
      <w:pPr>
        <w:spacing w:before="80" w:after="0"/>
        <w:ind w:right="45"/>
        <w:jc w:val="both"/>
        <w:rPr>
          <w:rFonts w:cs="Times New Roman"/>
          <w:sz w:val="24"/>
          <w:lang w:val="en-US"/>
        </w:rPr>
      </w:pPr>
      <w:r>
        <w:rPr>
          <w:rFonts w:cs="Times New Roman"/>
          <w:noProof/>
          <w:sz w:val="24"/>
          <w:lang w:val="en-US" w:eastAsia="en-US"/>
        </w:rPr>
        <w:drawing>
          <wp:inline distT="0" distB="0" distL="0" distR="0">
            <wp:extent cx="5762625" cy="3905250"/>
            <wp:effectExtent l="19050" t="0" r="9525" b="0"/>
            <wp:docPr id="2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2" cstate="print"/>
                    <a:srcRect/>
                    <a:stretch>
                      <a:fillRect/>
                    </a:stretch>
                  </pic:blipFill>
                  <pic:spPr bwMode="auto">
                    <a:xfrm>
                      <a:off x="0" y="0"/>
                      <a:ext cx="5762625" cy="3905250"/>
                    </a:xfrm>
                    <a:prstGeom prst="rect">
                      <a:avLst/>
                    </a:prstGeom>
                    <a:noFill/>
                    <a:ln w="9525">
                      <a:noFill/>
                      <a:miter lim="800000"/>
                      <a:headEnd/>
                      <a:tailEnd/>
                    </a:ln>
                  </pic:spPr>
                </pic:pic>
              </a:graphicData>
            </a:graphic>
          </wp:inline>
        </w:drawing>
      </w:r>
    </w:p>
    <w:p w:rsidR="000174EE" w:rsidRPr="000174EE" w:rsidRDefault="000174EE" w:rsidP="00F90138">
      <w:pPr>
        <w:jc w:val="both"/>
        <w:rPr>
          <w:sz w:val="24"/>
        </w:rPr>
      </w:pPr>
      <w:r w:rsidRPr="00667271">
        <w:rPr>
          <w:b/>
          <w:sz w:val="24"/>
        </w:rPr>
        <w:t xml:space="preserve">Figura </w:t>
      </w:r>
      <w:r w:rsidR="00047A8E">
        <w:rPr>
          <w:b/>
          <w:sz w:val="24"/>
        </w:rPr>
        <w:t>6</w:t>
      </w:r>
      <w:r w:rsidRPr="00667271">
        <w:rPr>
          <w:b/>
          <w:sz w:val="24"/>
        </w:rPr>
        <w:t>.</w:t>
      </w:r>
      <w:r w:rsidRPr="000174EE">
        <w:rPr>
          <w:sz w:val="24"/>
        </w:rPr>
        <w:t xml:space="preserve"> Dados da solução de equilíbrio do LV aos 311 dias de incubação com Pb plotados na superfície de resposta dos dados teóricos da cloropiromorfita (Lindsay, 1979), em função do pH, log da atividade de Pb</w:t>
      </w:r>
      <w:r w:rsidRPr="000174EE">
        <w:rPr>
          <w:sz w:val="24"/>
          <w:vertAlign w:val="superscript"/>
        </w:rPr>
        <w:t>2+</w:t>
      </w:r>
      <w:r w:rsidRPr="000174EE">
        <w:rPr>
          <w:sz w:val="24"/>
        </w:rPr>
        <w:t xml:space="preserve"> e H</w:t>
      </w:r>
      <w:r w:rsidRPr="000174EE">
        <w:rPr>
          <w:sz w:val="24"/>
          <w:vertAlign w:val="subscript"/>
        </w:rPr>
        <w:t>2</w:t>
      </w:r>
      <w:r w:rsidRPr="000174EE">
        <w:rPr>
          <w:sz w:val="24"/>
        </w:rPr>
        <w:t>PO</w:t>
      </w:r>
      <w:r w:rsidRPr="000174EE">
        <w:rPr>
          <w:sz w:val="24"/>
          <w:vertAlign w:val="subscript"/>
        </w:rPr>
        <w:t>4</w:t>
      </w:r>
      <w:r w:rsidRPr="000174EE">
        <w:rPr>
          <w:sz w:val="24"/>
          <w:vertAlign w:val="superscript"/>
        </w:rPr>
        <w:t>-</w:t>
      </w:r>
      <w:r w:rsidRPr="000174EE">
        <w:rPr>
          <w:sz w:val="24"/>
        </w:rPr>
        <w:t xml:space="preserve">. Tratamentos T1 a T4: dose de 1 x CMAPb no pH natural; Tratamentos T5 a T8: dose de 1 x CMAPb no pH 7,0; Tratamentos T9 a T12: dose de 5 x CMAPb no pH natural; Tratamentos T13 a T16: dose de 5 x CMAPb no pH 7,0. </w:t>
      </w:r>
    </w:p>
    <w:p w:rsidR="000174EE" w:rsidRDefault="000174EE" w:rsidP="00667271">
      <w:pPr>
        <w:spacing w:after="0" w:line="360" w:lineRule="auto"/>
        <w:jc w:val="both"/>
      </w:pPr>
    </w:p>
    <w:p w:rsidR="000174EE" w:rsidRDefault="00E51B11" w:rsidP="000174EE">
      <w:pPr>
        <w:spacing w:after="0" w:line="240" w:lineRule="auto"/>
        <w:jc w:val="both"/>
      </w:pPr>
      <w:r>
        <w:rPr>
          <w:noProof/>
          <w:lang w:val="en-US" w:eastAsia="en-US"/>
        </w:rPr>
        <w:lastRenderedPageBreak/>
        <w:drawing>
          <wp:inline distT="0" distB="0" distL="0" distR="0">
            <wp:extent cx="5753100" cy="3762375"/>
            <wp:effectExtent l="19050" t="0" r="0" b="0"/>
            <wp:docPr id="2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a:ln w="9525">
                      <a:noFill/>
                      <a:miter lim="800000"/>
                      <a:headEnd/>
                      <a:tailEnd/>
                    </a:ln>
                  </pic:spPr>
                </pic:pic>
              </a:graphicData>
            </a:graphic>
          </wp:inline>
        </w:drawing>
      </w:r>
    </w:p>
    <w:p w:rsidR="000174EE" w:rsidRPr="000174EE" w:rsidRDefault="000174EE" w:rsidP="00F90138">
      <w:pPr>
        <w:spacing w:line="240" w:lineRule="auto"/>
        <w:jc w:val="both"/>
        <w:rPr>
          <w:sz w:val="24"/>
        </w:rPr>
      </w:pPr>
      <w:r w:rsidRPr="00667271">
        <w:rPr>
          <w:b/>
          <w:sz w:val="24"/>
        </w:rPr>
        <w:t xml:space="preserve">Figura </w:t>
      </w:r>
      <w:r w:rsidR="00047A8E">
        <w:rPr>
          <w:b/>
          <w:sz w:val="24"/>
        </w:rPr>
        <w:t>7</w:t>
      </w:r>
      <w:r w:rsidRPr="00667271">
        <w:rPr>
          <w:b/>
          <w:sz w:val="24"/>
        </w:rPr>
        <w:t>.</w:t>
      </w:r>
      <w:r w:rsidRPr="000174EE">
        <w:rPr>
          <w:sz w:val="24"/>
        </w:rPr>
        <w:t xml:space="preserve"> Dados da solução de equilíbrio do NV aos 311 dias de incubação com Pb plotados na superfície de resposta dos dados teóricos da cloropiromorfita (Lindsay, 1979), em função do pH, log da atividade de Pb</w:t>
      </w:r>
      <w:r w:rsidRPr="000174EE">
        <w:rPr>
          <w:sz w:val="24"/>
          <w:vertAlign w:val="superscript"/>
        </w:rPr>
        <w:t>2+</w:t>
      </w:r>
      <w:r w:rsidRPr="000174EE">
        <w:rPr>
          <w:sz w:val="24"/>
        </w:rPr>
        <w:t xml:space="preserve"> e H</w:t>
      </w:r>
      <w:r w:rsidRPr="000174EE">
        <w:rPr>
          <w:sz w:val="24"/>
          <w:vertAlign w:val="subscript"/>
        </w:rPr>
        <w:t>2</w:t>
      </w:r>
      <w:r w:rsidRPr="000174EE">
        <w:rPr>
          <w:sz w:val="24"/>
        </w:rPr>
        <w:t>PO</w:t>
      </w:r>
      <w:r w:rsidRPr="000174EE">
        <w:rPr>
          <w:sz w:val="24"/>
          <w:vertAlign w:val="subscript"/>
        </w:rPr>
        <w:t>4</w:t>
      </w:r>
      <w:r w:rsidRPr="000174EE">
        <w:rPr>
          <w:sz w:val="24"/>
          <w:vertAlign w:val="superscript"/>
        </w:rPr>
        <w:t>-</w:t>
      </w:r>
      <w:r w:rsidRPr="000174EE">
        <w:rPr>
          <w:sz w:val="24"/>
        </w:rPr>
        <w:t>. Tratamentos T1 a T4: dose de 1 x CMAPb no pH natural; Tratamentos T5 a T8: dose de 1 x CMAPb no pH 7,0; Tratamentos T9 a T12: dose de 5 x CMAPb no pH natural; Tratamentos T13 a T16: dose de 5 x CMAPb no pH 7,0.</w:t>
      </w:r>
    </w:p>
    <w:p w:rsidR="000174EE" w:rsidRDefault="000174EE" w:rsidP="00667271">
      <w:pPr>
        <w:spacing w:after="0" w:line="360" w:lineRule="auto"/>
        <w:ind w:firstLine="709"/>
        <w:jc w:val="both"/>
        <w:rPr>
          <w:sz w:val="24"/>
        </w:rPr>
      </w:pPr>
    </w:p>
    <w:p w:rsidR="000174EE" w:rsidRPr="000174EE" w:rsidRDefault="000174EE" w:rsidP="0037267F">
      <w:pPr>
        <w:pStyle w:val="Ttulo2"/>
        <w:spacing w:after="0" w:line="360" w:lineRule="auto"/>
        <w:rPr>
          <w:b w:val="0"/>
          <w:sz w:val="24"/>
        </w:rPr>
      </w:pPr>
      <w:bookmarkStart w:id="20" w:name="_Toc443247131"/>
      <w:r w:rsidRPr="001B2E21">
        <w:rPr>
          <w:sz w:val="24"/>
        </w:rPr>
        <w:t>2.4. CONCLUSÕES</w:t>
      </w:r>
      <w:bookmarkEnd w:id="20"/>
    </w:p>
    <w:p w:rsidR="000174EE" w:rsidRPr="000174EE" w:rsidRDefault="000174EE" w:rsidP="0037267F">
      <w:pPr>
        <w:spacing w:after="0" w:line="360" w:lineRule="auto"/>
        <w:ind w:firstLine="709"/>
        <w:jc w:val="both"/>
        <w:rPr>
          <w:sz w:val="24"/>
        </w:rPr>
      </w:pPr>
      <w:r w:rsidRPr="000174EE">
        <w:rPr>
          <w:sz w:val="24"/>
        </w:rPr>
        <w:t>Entre as espécies de Pb e P formadas a partir da aplicação de fosfatos, mantidas na solução de equilíbrio, predominaram as formas livres Pb</w:t>
      </w:r>
      <w:r w:rsidRPr="000174EE">
        <w:rPr>
          <w:sz w:val="24"/>
          <w:vertAlign w:val="superscript"/>
        </w:rPr>
        <w:t>2+</w:t>
      </w:r>
      <w:r w:rsidRPr="000174EE">
        <w:rPr>
          <w:sz w:val="24"/>
        </w:rPr>
        <w:t xml:space="preserve"> e H</w:t>
      </w:r>
      <w:r w:rsidRPr="000174EE">
        <w:rPr>
          <w:sz w:val="24"/>
          <w:vertAlign w:val="subscript"/>
        </w:rPr>
        <w:t>2</w:t>
      </w:r>
      <w:r w:rsidRPr="000174EE">
        <w:rPr>
          <w:sz w:val="24"/>
        </w:rPr>
        <w:t>PO</w:t>
      </w:r>
      <w:r w:rsidRPr="000174EE">
        <w:rPr>
          <w:sz w:val="24"/>
          <w:vertAlign w:val="subscript"/>
        </w:rPr>
        <w:t>4</w:t>
      </w:r>
      <w:r w:rsidRPr="000174EE">
        <w:rPr>
          <w:sz w:val="24"/>
          <w:vertAlign w:val="superscript"/>
        </w:rPr>
        <w:t>-</w:t>
      </w:r>
      <w:r w:rsidRPr="000174EE">
        <w:rPr>
          <w:sz w:val="24"/>
        </w:rPr>
        <w:t>. A especiação refletiu as alterações geoquímicas promovidas pela adição de fosfatos nos dois solos, sobretudo para as espécies de P ligadas a cátions.</w:t>
      </w:r>
    </w:p>
    <w:p w:rsidR="000174EE" w:rsidRPr="000174EE" w:rsidRDefault="000174EE" w:rsidP="0037267F">
      <w:pPr>
        <w:spacing w:after="0" w:line="360" w:lineRule="auto"/>
        <w:ind w:firstLine="709"/>
        <w:jc w:val="both"/>
        <w:rPr>
          <w:sz w:val="24"/>
        </w:rPr>
      </w:pPr>
      <w:r w:rsidRPr="000174EE">
        <w:rPr>
          <w:sz w:val="24"/>
        </w:rPr>
        <w:t>A adição de P foi eficiente na redução da disponibilidade do Pb</w:t>
      </w:r>
      <w:r w:rsidR="00817E73">
        <w:rPr>
          <w:sz w:val="24"/>
        </w:rPr>
        <w:t xml:space="preserve"> na solução dos solos. A</w:t>
      </w:r>
      <w:r w:rsidRPr="000174EE">
        <w:rPr>
          <w:sz w:val="24"/>
        </w:rPr>
        <w:t xml:space="preserve"> dose 6:5 (P:Pb) foi a mais eficiente e responsiva, enquanto a dose 12:5 (P:Pb) foi demasiadamente elevada para ambos os solos.</w:t>
      </w:r>
      <w:r w:rsidR="001840A9">
        <w:rPr>
          <w:sz w:val="24"/>
        </w:rPr>
        <w:t xml:space="preserve"> </w:t>
      </w:r>
      <w:r w:rsidRPr="000174EE">
        <w:rPr>
          <w:sz w:val="24"/>
        </w:rPr>
        <w:t xml:space="preserve">A aplicação de fosfatos alterou o pH da solução de equilíbrio, sugerindo que a redução do pH decorreu das reações de formação da cloropiromorfita, com efeito mais pronunciado nos maiores níveis de contaminação (5 x capacidade máxima de adsorção de Pb), em ambos os solos. </w:t>
      </w:r>
    </w:p>
    <w:p w:rsidR="000174EE" w:rsidRPr="000174EE" w:rsidRDefault="008303A7" w:rsidP="0037267F">
      <w:pPr>
        <w:spacing w:after="0" w:line="360" w:lineRule="auto"/>
        <w:ind w:firstLine="709"/>
        <w:jc w:val="both"/>
        <w:rPr>
          <w:sz w:val="24"/>
        </w:rPr>
      </w:pPr>
      <w:r>
        <w:rPr>
          <w:sz w:val="24"/>
        </w:rPr>
        <w:t>A</w:t>
      </w:r>
      <w:r w:rsidRPr="000174EE">
        <w:rPr>
          <w:sz w:val="24"/>
        </w:rPr>
        <w:t xml:space="preserve"> estabilização química do Pb formando precipitados estáveis através da adição de fosfatos é muito promissora em solos que apresentam elevada contaminação por Pb.</w:t>
      </w:r>
      <w:r>
        <w:rPr>
          <w:sz w:val="24"/>
        </w:rPr>
        <w:t xml:space="preserve"> </w:t>
      </w:r>
      <w:r w:rsidR="000174EE" w:rsidRPr="000174EE">
        <w:rPr>
          <w:sz w:val="24"/>
        </w:rPr>
        <w:t xml:space="preserve">Os modelos teóricos de estabilidade da cloropiromorfita foram eficientes na predição da </w:t>
      </w:r>
      <w:r w:rsidR="000174EE" w:rsidRPr="000174EE">
        <w:rPr>
          <w:sz w:val="24"/>
        </w:rPr>
        <w:lastRenderedPageBreak/>
        <w:t xml:space="preserve">formação e da estabilidade deste mineral, nos quais todos os tratamentos ficaram supersaturados em relação às superfícies de resposta da cloropiromorfita. </w:t>
      </w:r>
    </w:p>
    <w:p w:rsidR="000174EE" w:rsidRPr="000174EE" w:rsidRDefault="000174EE" w:rsidP="0037267F">
      <w:pPr>
        <w:spacing w:after="0" w:line="360" w:lineRule="auto"/>
        <w:jc w:val="both"/>
        <w:rPr>
          <w:sz w:val="24"/>
        </w:rPr>
      </w:pPr>
    </w:p>
    <w:p w:rsidR="000174EE" w:rsidRPr="001C4454" w:rsidRDefault="000174EE" w:rsidP="00775DEF">
      <w:pPr>
        <w:spacing w:after="0" w:line="360" w:lineRule="auto"/>
        <w:jc w:val="both"/>
        <w:rPr>
          <w:b/>
          <w:sz w:val="24"/>
        </w:rPr>
      </w:pPr>
      <w:r w:rsidRPr="001C4454">
        <w:rPr>
          <w:b/>
          <w:sz w:val="24"/>
        </w:rPr>
        <w:t>2.6. LITERATURA CITADA</w:t>
      </w:r>
    </w:p>
    <w:p w:rsidR="007C793F" w:rsidRDefault="007C793F" w:rsidP="00BD52D6">
      <w:pPr>
        <w:spacing w:after="0" w:line="360" w:lineRule="auto"/>
        <w:ind w:right="45" w:firstLine="709"/>
        <w:jc w:val="both"/>
        <w:rPr>
          <w:sz w:val="24"/>
        </w:rPr>
      </w:pPr>
      <w:r w:rsidRPr="00993388">
        <w:rPr>
          <w:sz w:val="24"/>
        </w:rPr>
        <w:t>ALLEONI, L.R.F; MELLO, J.W.V. &amp; ROCHA, W.D. Eletroquímica, adsorção e troca iônica do solo. In: MELO, V.F. &amp; ALLEONI, L.R.F., eds. Química e mineralogia do solo</w:t>
      </w:r>
      <w:r>
        <w:rPr>
          <w:sz w:val="24"/>
        </w:rPr>
        <w:t>,</w:t>
      </w:r>
      <w:r w:rsidRPr="00993388">
        <w:rPr>
          <w:sz w:val="24"/>
        </w:rPr>
        <w:t xml:space="preserve"> Parte II, SBCS, 2009. p.70- 129.</w:t>
      </w:r>
    </w:p>
    <w:p w:rsidR="007C793F" w:rsidRDefault="007C793F" w:rsidP="00BD52D6">
      <w:pPr>
        <w:spacing w:after="0" w:line="360" w:lineRule="auto"/>
        <w:ind w:right="45" w:firstLine="709"/>
        <w:jc w:val="both"/>
        <w:rPr>
          <w:sz w:val="24"/>
        </w:rPr>
      </w:pPr>
    </w:p>
    <w:p w:rsidR="000174EE" w:rsidRPr="000174EE" w:rsidRDefault="000174EE" w:rsidP="00BD52D6">
      <w:pPr>
        <w:spacing w:after="0" w:line="360" w:lineRule="auto"/>
        <w:ind w:right="45" w:firstLine="709"/>
        <w:jc w:val="both"/>
        <w:rPr>
          <w:sz w:val="24"/>
          <w:lang w:val="es-AR"/>
        </w:rPr>
      </w:pPr>
      <w:r w:rsidRPr="000174EE">
        <w:rPr>
          <w:sz w:val="24"/>
          <w:lang w:val="es-AR"/>
        </w:rPr>
        <w:t>ALLOWAY, B.J. Heavy metals in soils. Springer Science &amp; Business Media Dordrecht, 3.ed., 2013. 614 p.</w:t>
      </w:r>
    </w:p>
    <w:p w:rsidR="000174EE" w:rsidRPr="000174EE" w:rsidRDefault="000174EE" w:rsidP="00BD52D6">
      <w:pPr>
        <w:spacing w:after="0" w:line="360" w:lineRule="auto"/>
        <w:ind w:right="45" w:firstLine="709"/>
        <w:jc w:val="both"/>
        <w:rPr>
          <w:sz w:val="24"/>
          <w:lang w:val="es-AR"/>
        </w:rPr>
      </w:pPr>
    </w:p>
    <w:p w:rsidR="000174EE" w:rsidRPr="000174EE" w:rsidRDefault="000174EE" w:rsidP="00BD52D6">
      <w:pPr>
        <w:spacing w:after="0" w:line="360" w:lineRule="auto"/>
        <w:ind w:right="45" w:firstLine="709"/>
        <w:jc w:val="both"/>
        <w:rPr>
          <w:sz w:val="24"/>
          <w:lang w:val="es-AR"/>
        </w:rPr>
      </w:pPr>
      <w:r w:rsidRPr="000174EE">
        <w:rPr>
          <w:sz w:val="24"/>
          <w:lang w:val="es-AR"/>
        </w:rPr>
        <w:t>AUSTRUY, A.; SHAHID, M.; XIONG, T.; CASTREC, M.; PAYRE, V.; NIAZI, N.K.; SABIR, M. &amp; DUMAT, C. Mechanisms of metal-phosphates formation in the rhizosphere soils of pea and tomato: environmental and sanitary consequences. J. Soils Sediments, 14:666</w:t>
      </w:r>
      <w:r w:rsidR="00256D35">
        <w:rPr>
          <w:sz w:val="24"/>
          <w:lang w:val="es-AR"/>
        </w:rPr>
        <w:t>-</w:t>
      </w:r>
      <w:r w:rsidRPr="000174EE">
        <w:rPr>
          <w:sz w:val="24"/>
          <w:lang w:val="es-AR"/>
        </w:rPr>
        <w:t>678, 2014.</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rPr>
      </w:pPr>
      <w:r w:rsidRPr="000174EE">
        <w:rPr>
          <w:sz w:val="24"/>
          <w:lang w:val="es-AR"/>
        </w:rPr>
        <w:t xml:space="preserve">CAO, X.D.; WAHBIC, A.; MA, L.; LI, B. </w:t>
      </w:r>
      <w:r w:rsidRPr="000174EE">
        <w:rPr>
          <w:sz w:val="24"/>
          <w:lang w:val="en-US"/>
        </w:rPr>
        <w:t xml:space="preserve">&amp; YANG, Y.L. Immobilization of Zn, Cu, and Pb in contaminated soils using phosphate rock and phosphoric acid. </w:t>
      </w:r>
      <w:r w:rsidRPr="000174EE">
        <w:rPr>
          <w:sz w:val="24"/>
        </w:rPr>
        <w:t>Journal of Hazardous Materials, 164:555-564, 2009.</w:t>
      </w:r>
    </w:p>
    <w:p w:rsidR="000174EE" w:rsidRPr="000174EE" w:rsidRDefault="000174EE" w:rsidP="00BD52D6">
      <w:pPr>
        <w:spacing w:after="0" w:line="360" w:lineRule="auto"/>
        <w:ind w:right="45" w:firstLine="709"/>
        <w:jc w:val="both"/>
        <w:rPr>
          <w:sz w:val="24"/>
        </w:rPr>
      </w:pPr>
    </w:p>
    <w:p w:rsidR="000174EE" w:rsidRPr="000174EE" w:rsidRDefault="000174EE" w:rsidP="00BD52D6">
      <w:pPr>
        <w:spacing w:after="0" w:line="360" w:lineRule="auto"/>
        <w:ind w:right="45" w:firstLine="709"/>
        <w:jc w:val="both"/>
        <w:rPr>
          <w:sz w:val="24"/>
          <w:lang w:val="es-AR"/>
        </w:rPr>
      </w:pPr>
      <w:r w:rsidRPr="000174EE">
        <w:rPr>
          <w:sz w:val="24"/>
          <w:lang w:val="es-AR"/>
        </w:rPr>
        <w:t>EMPRESA BRASILEIRA DE PESQUISA AGROPECUÁRIA -EMBRAPA. Centro Nacional de Pesquisa de Solos. Manual de Métodos de Análise de Solo. 2.ed. Rio de Janeiro, EMBRAPA/CNPS, 2011. 212p.</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s-AR"/>
        </w:rPr>
      </w:pPr>
      <w:r w:rsidRPr="000174EE">
        <w:rPr>
          <w:sz w:val="24"/>
          <w:lang w:val="es-AR"/>
        </w:rPr>
        <w:t>HARTER, R.D. Effect of Soil pH on Adsorption of Lead, Copper, Zinc, and Nickel. Soil Sci. Soc. Am. J., 47:47-51, 1983.</w:t>
      </w:r>
    </w:p>
    <w:p w:rsidR="000174EE" w:rsidRPr="000174EE" w:rsidRDefault="000174EE" w:rsidP="00BD52D6">
      <w:pPr>
        <w:spacing w:after="0" w:line="360" w:lineRule="auto"/>
        <w:ind w:right="45" w:firstLine="709"/>
        <w:jc w:val="both"/>
        <w:rPr>
          <w:sz w:val="24"/>
          <w:lang w:val="en-US"/>
        </w:rPr>
      </w:pPr>
    </w:p>
    <w:p w:rsidR="000174EE" w:rsidRDefault="00C057C7" w:rsidP="00BD52D6">
      <w:pPr>
        <w:spacing w:after="0" w:line="360" w:lineRule="auto"/>
        <w:ind w:right="45" w:firstLine="709"/>
        <w:jc w:val="both"/>
        <w:rPr>
          <w:sz w:val="24"/>
          <w:lang w:val="es-AR"/>
        </w:rPr>
      </w:pPr>
      <w:hyperlink r:id="rId24" w:history="1">
        <w:r w:rsidR="000174EE" w:rsidRPr="000174EE">
          <w:rPr>
            <w:sz w:val="24"/>
            <w:lang w:val="es-AR"/>
          </w:rPr>
          <w:t>HASHIMOTO, Y</w:t>
        </w:r>
      </w:hyperlink>
      <w:r w:rsidR="000174EE" w:rsidRPr="000174EE">
        <w:rPr>
          <w:sz w:val="24"/>
          <w:lang w:val="es-AR"/>
        </w:rPr>
        <w:t xml:space="preserve">.; </w:t>
      </w:r>
      <w:hyperlink r:id="rId25" w:history="1">
        <w:r w:rsidR="000174EE" w:rsidRPr="000174EE">
          <w:rPr>
            <w:sz w:val="24"/>
            <w:lang w:val="es-AR"/>
          </w:rPr>
          <w:t>TAKAOKA, M</w:t>
        </w:r>
      </w:hyperlink>
      <w:r w:rsidR="000174EE" w:rsidRPr="000174EE">
        <w:rPr>
          <w:sz w:val="24"/>
          <w:lang w:val="es-AR"/>
        </w:rPr>
        <w:t xml:space="preserve">.; </w:t>
      </w:r>
      <w:hyperlink r:id="rId26" w:history="1">
        <w:r w:rsidR="000174EE" w:rsidRPr="000174EE">
          <w:rPr>
            <w:sz w:val="24"/>
            <w:lang w:val="es-AR"/>
          </w:rPr>
          <w:t>OSHITA, K</w:t>
        </w:r>
      </w:hyperlink>
      <w:r w:rsidR="000174EE" w:rsidRPr="000174EE">
        <w:rPr>
          <w:sz w:val="24"/>
          <w:lang w:val="es-AR"/>
        </w:rPr>
        <w:t xml:space="preserve">. &amp; </w:t>
      </w:r>
      <w:hyperlink r:id="rId27" w:history="1">
        <w:r w:rsidR="000174EE" w:rsidRPr="000174EE">
          <w:rPr>
            <w:sz w:val="24"/>
            <w:lang w:val="es-AR"/>
          </w:rPr>
          <w:t>TANIDA, H</w:t>
        </w:r>
      </w:hyperlink>
      <w:r w:rsidR="000174EE" w:rsidRPr="000174EE">
        <w:rPr>
          <w:sz w:val="24"/>
          <w:lang w:val="es-AR"/>
        </w:rPr>
        <w:t xml:space="preserve">. Incomplete transformations of Pb to pyromorphite by phosphate-induced immobilization investigated by X-ray absorption fine structure (XAFS) spectroscopy. </w:t>
      </w:r>
      <w:hyperlink r:id="rId28" w:tooltip="Chemosphere." w:history="1">
        <w:r w:rsidR="000174EE" w:rsidRPr="000174EE">
          <w:rPr>
            <w:sz w:val="24"/>
            <w:lang w:val="es-AR"/>
          </w:rPr>
          <w:t>Chemosphere,</w:t>
        </w:r>
      </w:hyperlink>
      <w:r w:rsidR="000174EE" w:rsidRPr="000174EE">
        <w:rPr>
          <w:sz w:val="24"/>
          <w:lang w:val="es-AR"/>
        </w:rPr>
        <w:t xml:space="preserve"> 76:616-622, 2009a.</w:t>
      </w:r>
    </w:p>
    <w:p w:rsidR="0027128B" w:rsidRPr="000174EE" w:rsidRDefault="0027128B" w:rsidP="00BD52D6">
      <w:pPr>
        <w:spacing w:after="0" w:line="360" w:lineRule="auto"/>
        <w:ind w:right="45" w:firstLine="709"/>
        <w:jc w:val="both"/>
        <w:rPr>
          <w:sz w:val="24"/>
          <w:lang w:val="es-AR"/>
        </w:rPr>
      </w:pPr>
    </w:p>
    <w:p w:rsidR="000174EE" w:rsidRPr="000174EE" w:rsidRDefault="000174EE" w:rsidP="00BD52D6">
      <w:pPr>
        <w:spacing w:after="0" w:line="360" w:lineRule="auto"/>
        <w:ind w:right="45" w:firstLine="709"/>
        <w:jc w:val="both"/>
        <w:rPr>
          <w:sz w:val="24"/>
          <w:lang w:val="es-AR"/>
        </w:rPr>
      </w:pPr>
      <w:r w:rsidRPr="000174EE">
        <w:rPr>
          <w:sz w:val="24"/>
          <w:lang w:val="es-AR"/>
        </w:rPr>
        <w:t xml:space="preserve">HASHIMOTO, Y.; TAKI, T. &amp; SATO, T. Sorption of dissolved lead from shooting range soils using hydroxyapatite amendments synthesized from industrial by products as </w:t>
      </w:r>
      <w:r w:rsidRPr="000174EE">
        <w:rPr>
          <w:sz w:val="24"/>
          <w:lang w:val="es-AR"/>
        </w:rPr>
        <w:lastRenderedPageBreak/>
        <w:t>affected by varying pH conditions. Journal of environmental management, 90:1782-1789, 2009b.</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HETTIARACHCHI, G.M. &amp; PIERZYNSKI, G.M. The use of phosphorus and other soil amendments for in situ stabilization of soil lead. Conference on Hazardous Waste Research. 125:133, 2000.</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HETTIARACHCHI, G.M.; PIERZYNSKI, G.M. &amp; RANSOM, M.D. In situ stabilization of soil lead using phosphorus and manganese oxide. Environmental Science and Technology, 34:4614-4619, 2000.</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JIANG, G.J.; LIU, Y.H.; HUANG, L.; FU, Q.L.; DENG, Y.J. &amp; HU, H.Q. Mechanism of lead immobilization by oxalic acid-activated phosphate rocks. J. Environ. Sci. 24:919-925, 2012.</w:t>
      </w:r>
    </w:p>
    <w:p w:rsidR="000174EE" w:rsidRPr="000174EE" w:rsidRDefault="000174EE" w:rsidP="00BD52D6">
      <w:pPr>
        <w:spacing w:after="0" w:line="360" w:lineRule="auto"/>
        <w:ind w:right="45" w:firstLine="709"/>
        <w:jc w:val="both"/>
        <w:rPr>
          <w:sz w:val="24"/>
          <w:lang w:val="en-US"/>
        </w:rPr>
      </w:pPr>
    </w:p>
    <w:p w:rsidR="000174EE" w:rsidRDefault="000174EE" w:rsidP="00BD52D6">
      <w:pPr>
        <w:spacing w:after="0" w:line="360" w:lineRule="auto"/>
        <w:ind w:right="45" w:firstLine="709"/>
        <w:jc w:val="both"/>
        <w:rPr>
          <w:sz w:val="24"/>
          <w:lang w:val="en-US"/>
        </w:rPr>
      </w:pPr>
      <w:r w:rsidRPr="000174EE">
        <w:rPr>
          <w:sz w:val="24"/>
          <w:lang w:val="en-US"/>
        </w:rPr>
        <w:t>LINDSAY, W.L. Chemical Equilibria in Soils. John Wiley and Sons, Inc. New York, 1979.</w:t>
      </w:r>
    </w:p>
    <w:p w:rsidR="00256D35" w:rsidRPr="000174EE" w:rsidRDefault="00256D35"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rPr>
      </w:pPr>
      <w:r w:rsidRPr="000174EE">
        <w:rPr>
          <w:sz w:val="24"/>
          <w:lang w:val="en-US"/>
        </w:rPr>
        <w:t xml:space="preserve">MELAMED, R.; CAO, X.D.; CHEN, M. &amp; MA, L.Q. Field assessment of lead immobilization in a contaminated soil after phosphate application. </w:t>
      </w:r>
      <w:r w:rsidRPr="000174EE">
        <w:rPr>
          <w:sz w:val="24"/>
        </w:rPr>
        <w:t>Sci. Total Environ. 305:117-127, 2003.</w:t>
      </w:r>
    </w:p>
    <w:p w:rsidR="000174EE" w:rsidRPr="000174EE" w:rsidRDefault="000174EE" w:rsidP="00BD52D6">
      <w:pPr>
        <w:spacing w:after="0" w:line="360" w:lineRule="auto"/>
        <w:ind w:right="45" w:firstLine="709"/>
        <w:jc w:val="both"/>
        <w:rPr>
          <w:sz w:val="24"/>
        </w:rPr>
      </w:pPr>
    </w:p>
    <w:p w:rsidR="000174EE" w:rsidRDefault="000174EE" w:rsidP="00BD52D6">
      <w:pPr>
        <w:spacing w:after="0" w:line="360" w:lineRule="auto"/>
        <w:ind w:right="45" w:firstLine="709"/>
        <w:jc w:val="both"/>
        <w:rPr>
          <w:sz w:val="24"/>
          <w:lang w:val="en-US"/>
        </w:rPr>
      </w:pPr>
      <w:r w:rsidRPr="000174EE">
        <w:rPr>
          <w:sz w:val="24"/>
        </w:rPr>
        <w:t xml:space="preserve">MELO, E.E.C.; NASCIMENTO, C.W.A.; SANTOS, A.C.Q. &amp; SILVA, A.S. Disponibilidade e fracionamento de Cd, Pb, Cu e Zn em função do pH e tempo de incubação com o solo. </w:t>
      </w:r>
      <w:r w:rsidRPr="000174EE">
        <w:rPr>
          <w:sz w:val="24"/>
          <w:lang w:val="en-US"/>
        </w:rPr>
        <w:t>Ciênc. agrotec., 32:776-784, 2008.</w:t>
      </w:r>
    </w:p>
    <w:p w:rsidR="00047A8E" w:rsidRPr="000174EE" w:rsidRDefault="00047A8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NRIAGU, J.O. Lead orthophosphates—II. Stability of chloropyromorphite at 25 °C. Geochim. Cosmochim. Acta, 37:367-377, 1973.</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NRIAGU, J.O. Lead orthophosphates. IV. Formation and stability in the environment. Geochim. Cosmochim. Acta, 38:887-898, 1974.</w:t>
      </w:r>
    </w:p>
    <w:p w:rsidR="000174EE" w:rsidRPr="000174EE" w:rsidRDefault="000174EE" w:rsidP="00BD52D6">
      <w:pPr>
        <w:spacing w:after="0" w:line="360" w:lineRule="auto"/>
        <w:ind w:right="45" w:firstLine="709"/>
        <w:jc w:val="both"/>
        <w:rPr>
          <w:sz w:val="24"/>
          <w:lang w:val="en-US"/>
        </w:rPr>
      </w:pPr>
      <w:r w:rsidRPr="000174EE">
        <w:rPr>
          <w:sz w:val="24"/>
          <w:lang w:val="en-US"/>
        </w:rPr>
        <w:t>SCHECKEL, K.G. &amp; RYAN, J.A. Effects of Aging and pH on Dissolution Kinetics and Stability of Chloropyromorphite. U.S. Environ. Sci. Technol., 36:2198-2204, 2002.</w:t>
      </w:r>
    </w:p>
    <w:p w:rsidR="000174EE" w:rsidRPr="000174EE" w:rsidRDefault="000174EE" w:rsidP="00BD52D6">
      <w:pPr>
        <w:spacing w:after="0" w:line="360" w:lineRule="auto"/>
        <w:ind w:right="45" w:firstLine="709"/>
        <w:jc w:val="both"/>
        <w:rPr>
          <w:rFonts w:eastAsia="Times New Roman"/>
          <w:color w:val="000000"/>
          <w:sz w:val="24"/>
          <w:shd w:val="clear" w:color="auto" w:fill="FFFFFF"/>
          <w:lang w:val="en-US" w:eastAsia="pt-BR"/>
        </w:rPr>
      </w:pPr>
    </w:p>
    <w:p w:rsidR="000174EE" w:rsidRPr="000174EE" w:rsidRDefault="000174EE" w:rsidP="00BD52D6">
      <w:pPr>
        <w:spacing w:after="0" w:line="360" w:lineRule="auto"/>
        <w:ind w:right="45" w:firstLine="709"/>
        <w:jc w:val="both"/>
        <w:rPr>
          <w:sz w:val="24"/>
          <w:lang w:val="en-US"/>
        </w:rPr>
      </w:pPr>
      <w:r w:rsidRPr="000174EE">
        <w:rPr>
          <w:sz w:val="24"/>
          <w:lang w:val="en-US"/>
        </w:rPr>
        <w:lastRenderedPageBreak/>
        <w:t>SHEVADE, A.V.; ERICKSON, L.; PIERZYNSKI, G. &amp; JIANG, S. Formation and stability of substituted pyromorphite: a molecular modeling study. Journal of Hazardous Substance Research, 3:1-12, 2001.</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 xml:space="preserve">SHIGAKI, F.; SHARPLEY, A. &amp; PROCHNOW, L.I. Animal-based agriculture, phosphorus management and water quality in </w:t>
      </w:r>
      <w:r w:rsidR="00E9709A">
        <w:rPr>
          <w:sz w:val="24"/>
          <w:lang w:val="en-US"/>
        </w:rPr>
        <w:t>B</w:t>
      </w:r>
      <w:r w:rsidR="00E9709A" w:rsidRPr="000174EE">
        <w:rPr>
          <w:sz w:val="24"/>
          <w:lang w:val="en-US"/>
        </w:rPr>
        <w:t>razil</w:t>
      </w:r>
      <w:r w:rsidRPr="000174EE">
        <w:rPr>
          <w:sz w:val="24"/>
          <w:lang w:val="en-US"/>
        </w:rPr>
        <w:t>: options for the future. Sci. Agric., 63:194-209, 2006.</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SINGH, S.P.; MA, L.Q. &amp; HENDRY, M.J. Characterization of aqueous lead removal by phosphatic clay: Equilibrium and kinetic studies. J</w:t>
      </w:r>
      <w:r w:rsidR="00256D35">
        <w:rPr>
          <w:sz w:val="24"/>
          <w:lang w:val="en-US"/>
        </w:rPr>
        <w:t>ournal</w:t>
      </w:r>
      <w:r w:rsidRPr="000174EE">
        <w:rPr>
          <w:sz w:val="24"/>
          <w:lang w:val="en-US"/>
        </w:rPr>
        <w:t xml:space="preserve"> of Hazardous Materials, 136:654-662, 2006.</w:t>
      </w:r>
    </w:p>
    <w:p w:rsidR="000174EE" w:rsidRDefault="000174EE" w:rsidP="00BD52D6">
      <w:pPr>
        <w:spacing w:after="0" w:line="360" w:lineRule="auto"/>
        <w:ind w:right="45" w:firstLine="709"/>
        <w:jc w:val="both"/>
        <w:rPr>
          <w:sz w:val="24"/>
          <w:lang w:val="es-AR"/>
        </w:rPr>
      </w:pPr>
    </w:p>
    <w:p w:rsidR="00A25F07" w:rsidRDefault="00DC5214" w:rsidP="00BD52D6">
      <w:pPr>
        <w:spacing w:after="0" w:line="360" w:lineRule="auto"/>
        <w:ind w:right="45" w:firstLine="709"/>
        <w:jc w:val="both"/>
        <w:rPr>
          <w:sz w:val="24"/>
          <w:lang w:val="en-US"/>
        </w:rPr>
      </w:pPr>
      <w:r w:rsidRPr="00993388">
        <w:rPr>
          <w:sz w:val="24"/>
          <w:lang w:val="en-US"/>
        </w:rPr>
        <w:t xml:space="preserve">USEPA (United States Environmental Protection Agency). </w:t>
      </w:r>
      <w:r w:rsidRPr="001C4454">
        <w:rPr>
          <w:lang w:val="en-US"/>
        </w:rPr>
        <w:t>Method 300.0 - Determination of inorganic anions by ion chromatography.</w:t>
      </w:r>
      <w:r w:rsidRPr="00993388">
        <w:rPr>
          <w:sz w:val="24"/>
          <w:lang w:val="en-US"/>
        </w:rPr>
        <w:t xml:space="preserve"> </w:t>
      </w:r>
      <w:r w:rsidRPr="00993388">
        <w:rPr>
          <w:sz w:val="24"/>
        </w:rPr>
        <w:t>199</w:t>
      </w:r>
      <w:r>
        <w:rPr>
          <w:sz w:val="24"/>
        </w:rPr>
        <w:t>3</w:t>
      </w:r>
      <w:r w:rsidRPr="00993388">
        <w:rPr>
          <w:sz w:val="24"/>
        </w:rPr>
        <w:t>. Disponível</w:t>
      </w:r>
      <w:r>
        <w:rPr>
          <w:sz w:val="24"/>
        </w:rPr>
        <w:t xml:space="preserve"> </w:t>
      </w:r>
      <w:r w:rsidRPr="00993388">
        <w:rPr>
          <w:sz w:val="24"/>
        </w:rPr>
        <w:t>em: &lt;</w:t>
      </w:r>
      <w:r w:rsidRPr="00DC5214">
        <w:t xml:space="preserve"> </w:t>
      </w:r>
      <w:r w:rsidRPr="00DC5214">
        <w:rPr>
          <w:sz w:val="24"/>
        </w:rPr>
        <w:t>https://www.epa.gov/sites/production/files/2015-08/documents/method_300-0_rev_2-1_1993.pdf</w:t>
      </w:r>
      <w:r w:rsidRPr="00993388">
        <w:rPr>
          <w:sz w:val="24"/>
        </w:rPr>
        <w:t xml:space="preserve">&gt;. </w:t>
      </w:r>
      <w:r w:rsidRPr="00993388">
        <w:rPr>
          <w:sz w:val="24"/>
          <w:lang w:val="en-US"/>
        </w:rPr>
        <w:t xml:space="preserve">Acesso em </w:t>
      </w:r>
      <w:r>
        <w:rPr>
          <w:sz w:val="24"/>
          <w:lang w:val="en-US"/>
        </w:rPr>
        <w:t>dezembro</w:t>
      </w:r>
      <w:r w:rsidRPr="00993388">
        <w:rPr>
          <w:sz w:val="24"/>
          <w:lang w:val="en-US"/>
        </w:rPr>
        <w:t xml:space="preserve"> de 2015.</w:t>
      </w:r>
    </w:p>
    <w:p w:rsidR="00DC5214" w:rsidRPr="000174EE" w:rsidRDefault="00DC5214" w:rsidP="00BD52D6">
      <w:pPr>
        <w:spacing w:after="0" w:line="360" w:lineRule="auto"/>
        <w:ind w:right="45" w:firstLine="709"/>
        <w:jc w:val="both"/>
        <w:rPr>
          <w:sz w:val="24"/>
          <w:lang w:val="es-AR"/>
        </w:rPr>
      </w:pPr>
    </w:p>
    <w:p w:rsidR="000174EE" w:rsidRPr="000174EE" w:rsidRDefault="000174EE" w:rsidP="00BD52D6">
      <w:pPr>
        <w:spacing w:after="0" w:line="360" w:lineRule="auto"/>
        <w:ind w:right="45" w:firstLine="709"/>
        <w:jc w:val="both"/>
        <w:rPr>
          <w:sz w:val="24"/>
          <w:lang w:val="en-US"/>
        </w:rPr>
      </w:pPr>
      <w:r w:rsidRPr="000174EE">
        <w:rPr>
          <w:sz w:val="24"/>
          <w:lang w:val="en-US"/>
        </w:rPr>
        <w:t>WU, Z.; GU, Z.; WANG, X.; EVANS, L. &amp; GUO, H. Effects of organic acids on adsorption of lead onto montmorillonite, goethite and humic acid. Environmental Pollution, 121:469-475, 2003.</w:t>
      </w:r>
    </w:p>
    <w:p w:rsidR="000174EE" w:rsidRPr="000174EE" w:rsidRDefault="000174EE" w:rsidP="00BD52D6">
      <w:pPr>
        <w:spacing w:after="0" w:line="360" w:lineRule="auto"/>
        <w:ind w:right="45" w:firstLine="709"/>
        <w:jc w:val="both"/>
        <w:rPr>
          <w:sz w:val="24"/>
          <w:lang w:val="en-US"/>
        </w:rPr>
      </w:pPr>
    </w:p>
    <w:p w:rsidR="000174EE" w:rsidRPr="000174EE" w:rsidRDefault="000174EE" w:rsidP="00BD52D6">
      <w:pPr>
        <w:spacing w:after="0" w:line="360" w:lineRule="auto"/>
        <w:ind w:right="45" w:firstLine="709"/>
        <w:jc w:val="both"/>
        <w:rPr>
          <w:sz w:val="24"/>
          <w:lang w:val="en-US"/>
        </w:rPr>
      </w:pPr>
      <w:r w:rsidRPr="000174EE">
        <w:rPr>
          <w:sz w:val="24"/>
          <w:lang w:val="en-US"/>
        </w:rPr>
        <w:t>XIE, L. &amp; GIAMMAR, D.E. Equilibrium solubility and dissolution rate of the lead phosphate chloropyromorphite. Environmental Science &amp; Technology, 41:8050-8055, 2007.</w:t>
      </w:r>
    </w:p>
    <w:p w:rsidR="000174EE" w:rsidRPr="000174EE" w:rsidRDefault="000174EE" w:rsidP="00BD52D6">
      <w:pPr>
        <w:spacing w:after="0" w:line="360" w:lineRule="auto"/>
        <w:ind w:right="45" w:firstLine="709"/>
        <w:jc w:val="both"/>
        <w:rPr>
          <w:sz w:val="24"/>
          <w:lang w:val="en-US"/>
        </w:rPr>
      </w:pPr>
    </w:p>
    <w:p w:rsidR="000174EE" w:rsidRDefault="000174EE" w:rsidP="00BD52D6">
      <w:pPr>
        <w:spacing w:after="0" w:line="360" w:lineRule="auto"/>
        <w:ind w:right="45" w:firstLine="709"/>
        <w:jc w:val="both"/>
        <w:rPr>
          <w:sz w:val="24"/>
          <w:lang w:val="en-US"/>
        </w:rPr>
      </w:pPr>
      <w:r w:rsidRPr="000174EE">
        <w:rPr>
          <w:sz w:val="24"/>
          <w:lang w:val="en-US"/>
        </w:rPr>
        <w:t>XU, Y. &amp; SCHWARTZ, F.W. Lead immobilization by hydroxyapatite in aqueous solutions. J. Contam. Hydrol., 15:187-206, 1994.</w:t>
      </w:r>
    </w:p>
    <w:p w:rsidR="00256D35" w:rsidRPr="000174EE" w:rsidRDefault="00256D35" w:rsidP="00BD52D6">
      <w:pPr>
        <w:spacing w:after="0" w:line="360" w:lineRule="auto"/>
        <w:ind w:right="45" w:firstLine="709"/>
        <w:jc w:val="both"/>
        <w:rPr>
          <w:sz w:val="24"/>
          <w:lang w:val="en-US"/>
        </w:rPr>
      </w:pPr>
    </w:p>
    <w:p w:rsidR="00222900" w:rsidRPr="001C4454" w:rsidRDefault="000174EE" w:rsidP="00BD52D6">
      <w:pPr>
        <w:spacing w:after="0" w:line="360" w:lineRule="auto"/>
        <w:ind w:right="45" w:firstLine="709"/>
        <w:jc w:val="both"/>
        <w:rPr>
          <w:sz w:val="24"/>
        </w:rPr>
      </w:pPr>
      <w:r w:rsidRPr="000174EE">
        <w:rPr>
          <w:sz w:val="24"/>
          <w:lang w:val="en-US"/>
        </w:rPr>
        <w:t xml:space="preserve">ZHANG, P. &amp; RYAN, J.A. Formation of pyromorphite in anglesite-hydroxiapatite suspensions under varying pH conditions. </w:t>
      </w:r>
      <w:r w:rsidR="00256D35" w:rsidRPr="001C4454">
        <w:rPr>
          <w:sz w:val="24"/>
        </w:rPr>
        <w:t>Environ. Sci. Technol.</w:t>
      </w:r>
      <w:r w:rsidRPr="001C4454">
        <w:rPr>
          <w:sz w:val="24"/>
        </w:rPr>
        <w:t>, 32:3318-3324, 1998.</w:t>
      </w:r>
      <w:bookmarkStart w:id="21" w:name="_Toc443247132"/>
      <w:bookmarkEnd w:id="1"/>
    </w:p>
    <w:p w:rsidR="002C332D" w:rsidRDefault="00222900" w:rsidP="00FC0D3E">
      <w:pPr>
        <w:pStyle w:val="Ttulo1"/>
        <w:spacing w:before="0" w:after="0" w:line="360" w:lineRule="auto"/>
        <w:jc w:val="both"/>
        <w:rPr>
          <w:sz w:val="24"/>
        </w:rPr>
      </w:pPr>
      <w:r w:rsidRPr="001C4454">
        <w:br w:type="page"/>
      </w:r>
      <w:bookmarkEnd w:id="21"/>
    </w:p>
    <w:p w:rsidR="0087502D" w:rsidRPr="00487F56" w:rsidRDefault="0087502D" w:rsidP="00155A27">
      <w:pPr>
        <w:suppressAutoHyphens w:val="0"/>
        <w:spacing w:after="0" w:line="360" w:lineRule="auto"/>
        <w:jc w:val="both"/>
        <w:rPr>
          <w:kern w:val="0"/>
          <w:sz w:val="24"/>
        </w:rPr>
      </w:pPr>
    </w:p>
    <w:sectPr w:rsidR="0087502D" w:rsidRPr="00487F56" w:rsidSect="0063155A">
      <w:headerReference w:type="default" r:id="rId29"/>
      <w:pgSz w:w="11906" w:h="16838"/>
      <w:pgMar w:top="1701" w:right="1134" w:bottom="1134" w:left="1701" w:header="1134"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B37" w:rsidRDefault="00C26B37" w:rsidP="00553A52">
      <w:pPr>
        <w:spacing w:after="0" w:line="240" w:lineRule="auto"/>
      </w:pPr>
      <w:r>
        <w:separator/>
      </w:r>
    </w:p>
  </w:endnote>
  <w:endnote w:type="continuationSeparator" w:id="0">
    <w:p w:rsidR="00C26B37" w:rsidRDefault="00C26B37" w:rsidP="00553A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charset w:val="00"/>
    <w:family w:val="swiss"/>
    <w:pitch w:val="variable"/>
    <w:sig w:usb0="E0001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B37" w:rsidRDefault="00C26B37" w:rsidP="00553A52">
      <w:pPr>
        <w:spacing w:after="0" w:line="240" w:lineRule="auto"/>
      </w:pPr>
      <w:r>
        <w:separator/>
      </w:r>
    </w:p>
  </w:footnote>
  <w:footnote w:type="continuationSeparator" w:id="0">
    <w:p w:rsidR="00C26B37" w:rsidRDefault="00C26B37" w:rsidP="00553A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06" w:rsidRDefault="00A36270" w:rsidP="00A36270">
    <w:pPr>
      <w:pStyle w:val="Cabealho"/>
      <w:jc w:val="center"/>
    </w:pPr>
    <w:r>
      <w:t xml:space="preserve">GROUP 2 - NATURAL SCIENCES                                    </w:t>
    </w:r>
    <w:r w:rsidR="00C057C7">
      <w:fldChar w:fldCharType="begin"/>
    </w:r>
    <w:r w:rsidR="00102C55">
      <w:instrText>PAGE   \* MERGEFORMAT</w:instrText>
    </w:r>
    <w:r w:rsidR="00C057C7">
      <w:fldChar w:fldCharType="separate"/>
    </w:r>
    <w:r>
      <w:rPr>
        <w:noProof/>
      </w:rPr>
      <w:t>1</w:t>
    </w:r>
    <w:r w:rsidR="00C057C7">
      <w:rPr>
        <w:noProof/>
      </w:rPr>
      <w:fldChar w:fldCharType="end"/>
    </w:r>
  </w:p>
  <w:p w:rsidR="00711206" w:rsidRDefault="0071120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00000003"/>
    <w:multiLevelType w:val="multilevel"/>
    <w:tmpl w:val="00000003"/>
    <w:name w:val="WW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4316F21"/>
    <w:multiLevelType w:val="multilevel"/>
    <w:tmpl w:val="088C5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5E4E75"/>
    <w:multiLevelType w:val="hybridMultilevel"/>
    <w:tmpl w:val="082E46CC"/>
    <w:lvl w:ilvl="0" w:tplc="A078ADE0">
      <w:start w:val="1"/>
      <w:numFmt w:val="decimal"/>
      <w:lvlText w:val="(%1)"/>
      <w:lvlJc w:val="left"/>
      <w:pPr>
        <w:ind w:left="354" w:hanging="360"/>
      </w:pPr>
      <w:rPr>
        <w:rFonts w:hint="default"/>
      </w:rPr>
    </w:lvl>
    <w:lvl w:ilvl="1" w:tplc="04160019" w:tentative="1">
      <w:start w:val="1"/>
      <w:numFmt w:val="lowerLetter"/>
      <w:lvlText w:val="%2."/>
      <w:lvlJc w:val="left"/>
      <w:pPr>
        <w:ind w:left="1074" w:hanging="360"/>
      </w:pPr>
    </w:lvl>
    <w:lvl w:ilvl="2" w:tplc="0416001B" w:tentative="1">
      <w:start w:val="1"/>
      <w:numFmt w:val="lowerRoman"/>
      <w:lvlText w:val="%3."/>
      <w:lvlJc w:val="right"/>
      <w:pPr>
        <w:ind w:left="1794" w:hanging="180"/>
      </w:pPr>
    </w:lvl>
    <w:lvl w:ilvl="3" w:tplc="0416000F" w:tentative="1">
      <w:start w:val="1"/>
      <w:numFmt w:val="decimal"/>
      <w:lvlText w:val="%4."/>
      <w:lvlJc w:val="left"/>
      <w:pPr>
        <w:ind w:left="2514" w:hanging="360"/>
      </w:pPr>
    </w:lvl>
    <w:lvl w:ilvl="4" w:tplc="04160019" w:tentative="1">
      <w:start w:val="1"/>
      <w:numFmt w:val="lowerLetter"/>
      <w:lvlText w:val="%5."/>
      <w:lvlJc w:val="left"/>
      <w:pPr>
        <w:ind w:left="3234" w:hanging="360"/>
      </w:pPr>
    </w:lvl>
    <w:lvl w:ilvl="5" w:tplc="0416001B" w:tentative="1">
      <w:start w:val="1"/>
      <w:numFmt w:val="lowerRoman"/>
      <w:lvlText w:val="%6."/>
      <w:lvlJc w:val="right"/>
      <w:pPr>
        <w:ind w:left="3954" w:hanging="180"/>
      </w:pPr>
    </w:lvl>
    <w:lvl w:ilvl="6" w:tplc="0416000F" w:tentative="1">
      <w:start w:val="1"/>
      <w:numFmt w:val="decimal"/>
      <w:lvlText w:val="%7."/>
      <w:lvlJc w:val="left"/>
      <w:pPr>
        <w:ind w:left="4674" w:hanging="360"/>
      </w:pPr>
    </w:lvl>
    <w:lvl w:ilvl="7" w:tplc="04160019" w:tentative="1">
      <w:start w:val="1"/>
      <w:numFmt w:val="lowerLetter"/>
      <w:lvlText w:val="%8."/>
      <w:lvlJc w:val="left"/>
      <w:pPr>
        <w:ind w:left="5394" w:hanging="360"/>
      </w:pPr>
    </w:lvl>
    <w:lvl w:ilvl="8" w:tplc="0416001B" w:tentative="1">
      <w:start w:val="1"/>
      <w:numFmt w:val="lowerRoman"/>
      <w:lvlText w:val="%9."/>
      <w:lvlJc w:val="right"/>
      <w:pPr>
        <w:ind w:left="6114" w:hanging="180"/>
      </w:pPr>
    </w:lvl>
  </w:abstractNum>
  <w:abstractNum w:abstractNumId="5">
    <w:nsid w:val="20923BEC"/>
    <w:multiLevelType w:val="hybridMultilevel"/>
    <w:tmpl w:val="5B427F50"/>
    <w:lvl w:ilvl="0" w:tplc="0B44980A">
      <w:start w:val="1"/>
      <w:numFmt w:val="decimal"/>
      <w:lvlText w:val="%1."/>
      <w:lvlJc w:val="left"/>
      <w:pPr>
        <w:ind w:left="354" w:hanging="360"/>
      </w:pPr>
      <w:rPr>
        <w:rFonts w:hint="default"/>
      </w:rPr>
    </w:lvl>
    <w:lvl w:ilvl="1" w:tplc="04160019" w:tentative="1">
      <w:start w:val="1"/>
      <w:numFmt w:val="lowerLetter"/>
      <w:lvlText w:val="%2."/>
      <w:lvlJc w:val="left"/>
      <w:pPr>
        <w:ind w:left="1074" w:hanging="360"/>
      </w:pPr>
    </w:lvl>
    <w:lvl w:ilvl="2" w:tplc="0416001B" w:tentative="1">
      <w:start w:val="1"/>
      <w:numFmt w:val="lowerRoman"/>
      <w:lvlText w:val="%3."/>
      <w:lvlJc w:val="right"/>
      <w:pPr>
        <w:ind w:left="1794" w:hanging="180"/>
      </w:pPr>
    </w:lvl>
    <w:lvl w:ilvl="3" w:tplc="0416000F" w:tentative="1">
      <w:start w:val="1"/>
      <w:numFmt w:val="decimal"/>
      <w:lvlText w:val="%4."/>
      <w:lvlJc w:val="left"/>
      <w:pPr>
        <w:ind w:left="2514" w:hanging="360"/>
      </w:pPr>
    </w:lvl>
    <w:lvl w:ilvl="4" w:tplc="04160019" w:tentative="1">
      <w:start w:val="1"/>
      <w:numFmt w:val="lowerLetter"/>
      <w:lvlText w:val="%5."/>
      <w:lvlJc w:val="left"/>
      <w:pPr>
        <w:ind w:left="3234" w:hanging="360"/>
      </w:pPr>
    </w:lvl>
    <w:lvl w:ilvl="5" w:tplc="0416001B" w:tentative="1">
      <w:start w:val="1"/>
      <w:numFmt w:val="lowerRoman"/>
      <w:lvlText w:val="%6."/>
      <w:lvlJc w:val="right"/>
      <w:pPr>
        <w:ind w:left="3954" w:hanging="180"/>
      </w:pPr>
    </w:lvl>
    <w:lvl w:ilvl="6" w:tplc="0416000F" w:tentative="1">
      <w:start w:val="1"/>
      <w:numFmt w:val="decimal"/>
      <w:lvlText w:val="%7."/>
      <w:lvlJc w:val="left"/>
      <w:pPr>
        <w:ind w:left="4674" w:hanging="360"/>
      </w:pPr>
    </w:lvl>
    <w:lvl w:ilvl="7" w:tplc="04160019" w:tentative="1">
      <w:start w:val="1"/>
      <w:numFmt w:val="lowerLetter"/>
      <w:lvlText w:val="%8."/>
      <w:lvlJc w:val="left"/>
      <w:pPr>
        <w:ind w:left="5394" w:hanging="360"/>
      </w:pPr>
    </w:lvl>
    <w:lvl w:ilvl="8" w:tplc="0416001B" w:tentative="1">
      <w:start w:val="1"/>
      <w:numFmt w:val="lowerRoman"/>
      <w:lvlText w:val="%9."/>
      <w:lvlJc w:val="right"/>
      <w:pPr>
        <w:ind w:left="6114" w:hanging="180"/>
      </w:pPr>
    </w:lvl>
  </w:abstractNum>
  <w:abstractNum w:abstractNumId="6">
    <w:nsid w:val="225669BC"/>
    <w:multiLevelType w:val="multilevel"/>
    <w:tmpl w:val="2B94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2713D0"/>
    <w:multiLevelType w:val="hybridMultilevel"/>
    <w:tmpl w:val="0CE02FEE"/>
    <w:lvl w:ilvl="0" w:tplc="D982F1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D3C6FD2"/>
    <w:multiLevelType w:val="hybridMultilevel"/>
    <w:tmpl w:val="BA9C734E"/>
    <w:lvl w:ilvl="0" w:tplc="A21A4058">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45E944F7"/>
    <w:multiLevelType w:val="hybridMultilevel"/>
    <w:tmpl w:val="AF08721E"/>
    <w:lvl w:ilvl="0" w:tplc="3FF88B9E">
      <w:start w:val="1"/>
      <w:numFmt w:val="decimal"/>
      <w:lvlText w:val="%1."/>
      <w:lvlJc w:val="left"/>
      <w:pPr>
        <w:ind w:left="354" w:hanging="360"/>
      </w:pPr>
      <w:rPr>
        <w:rFonts w:hint="default"/>
      </w:rPr>
    </w:lvl>
    <w:lvl w:ilvl="1" w:tplc="04160019" w:tentative="1">
      <w:start w:val="1"/>
      <w:numFmt w:val="lowerLetter"/>
      <w:lvlText w:val="%2."/>
      <w:lvlJc w:val="left"/>
      <w:pPr>
        <w:ind w:left="1074" w:hanging="360"/>
      </w:pPr>
    </w:lvl>
    <w:lvl w:ilvl="2" w:tplc="0416001B" w:tentative="1">
      <w:start w:val="1"/>
      <w:numFmt w:val="lowerRoman"/>
      <w:lvlText w:val="%3."/>
      <w:lvlJc w:val="right"/>
      <w:pPr>
        <w:ind w:left="1794" w:hanging="180"/>
      </w:pPr>
    </w:lvl>
    <w:lvl w:ilvl="3" w:tplc="0416000F" w:tentative="1">
      <w:start w:val="1"/>
      <w:numFmt w:val="decimal"/>
      <w:lvlText w:val="%4."/>
      <w:lvlJc w:val="left"/>
      <w:pPr>
        <w:ind w:left="2514" w:hanging="360"/>
      </w:pPr>
    </w:lvl>
    <w:lvl w:ilvl="4" w:tplc="04160019" w:tentative="1">
      <w:start w:val="1"/>
      <w:numFmt w:val="lowerLetter"/>
      <w:lvlText w:val="%5."/>
      <w:lvlJc w:val="left"/>
      <w:pPr>
        <w:ind w:left="3234" w:hanging="360"/>
      </w:pPr>
    </w:lvl>
    <w:lvl w:ilvl="5" w:tplc="0416001B" w:tentative="1">
      <w:start w:val="1"/>
      <w:numFmt w:val="lowerRoman"/>
      <w:lvlText w:val="%6."/>
      <w:lvlJc w:val="right"/>
      <w:pPr>
        <w:ind w:left="3954" w:hanging="180"/>
      </w:pPr>
    </w:lvl>
    <w:lvl w:ilvl="6" w:tplc="0416000F" w:tentative="1">
      <w:start w:val="1"/>
      <w:numFmt w:val="decimal"/>
      <w:lvlText w:val="%7."/>
      <w:lvlJc w:val="left"/>
      <w:pPr>
        <w:ind w:left="4674" w:hanging="360"/>
      </w:pPr>
    </w:lvl>
    <w:lvl w:ilvl="7" w:tplc="04160019" w:tentative="1">
      <w:start w:val="1"/>
      <w:numFmt w:val="lowerLetter"/>
      <w:lvlText w:val="%8."/>
      <w:lvlJc w:val="left"/>
      <w:pPr>
        <w:ind w:left="5394" w:hanging="360"/>
      </w:pPr>
    </w:lvl>
    <w:lvl w:ilvl="8" w:tplc="0416001B" w:tentative="1">
      <w:start w:val="1"/>
      <w:numFmt w:val="lowerRoman"/>
      <w:lvlText w:val="%9."/>
      <w:lvlJc w:val="right"/>
      <w:pPr>
        <w:ind w:left="6114" w:hanging="180"/>
      </w:pPr>
    </w:lvl>
  </w:abstractNum>
  <w:abstractNum w:abstractNumId="10">
    <w:nsid w:val="5A3C0004"/>
    <w:multiLevelType w:val="multilevel"/>
    <w:tmpl w:val="5F9C3CFA"/>
    <w:lvl w:ilvl="0">
      <w:start w:val="1"/>
      <w:numFmt w:val="decimal"/>
      <w:lvlText w:val="%1."/>
      <w:lvlJc w:val="left"/>
      <w:pPr>
        <w:ind w:left="354" w:hanging="360"/>
      </w:pPr>
      <w:rPr>
        <w:rFonts w:hint="default"/>
      </w:rPr>
    </w:lvl>
    <w:lvl w:ilvl="1">
      <w:start w:val="3"/>
      <w:numFmt w:val="decimal"/>
      <w:isLgl/>
      <w:lvlText w:val="%1.%2"/>
      <w:lvlJc w:val="left"/>
      <w:pPr>
        <w:ind w:left="656" w:hanging="6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2"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6" w:hanging="1440"/>
      </w:pPr>
      <w:rPr>
        <w:rFonts w:hint="default"/>
      </w:rPr>
    </w:lvl>
    <w:lvl w:ilvl="7">
      <w:start w:val="1"/>
      <w:numFmt w:val="decimal"/>
      <w:isLgl/>
      <w:lvlText w:val="%1.%2.%3.%4.%5.%6.%7.%8"/>
      <w:lvlJc w:val="left"/>
      <w:pPr>
        <w:ind w:left="1448" w:hanging="1440"/>
      </w:pPr>
      <w:rPr>
        <w:rFonts w:hint="default"/>
      </w:rPr>
    </w:lvl>
    <w:lvl w:ilvl="8">
      <w:start w:val="1"/>
      <w:numFmt w:val="decimal"/>
      <w:isLgl/>
      <w:lvlText w:val="%1.%2.%3.%4.%5.%6.%7.%8.%9"/>
      <w:lvlJc w:val="left"/>
      <w:pPr>
        <w:ind w:left="1810" w:hanging="1800"/>
      </w:pPr>
      <w:rPr>
        <w:rFonts w:hint="default"/>
      </w:rPr>
    </w:lvl>
  </w:abstractNum>
  <w:abstractNum w:abstractNumId="11">
    <w:nsid w:val="5A9E198B"/>
    <w:multiLevelType w:val="multilevel"/>
    <w:tmpl w:val="FD4AC6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F585E36"/>
    <w:multiLevelType w:val="multilevel"/>
    <w:tmpl w:val="44A86C34"/>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0"/>
  </w:num>
  <w:num w:numId="2">
    <w:abstractNumId w:val="1"/>
  </w:num>
  <w:num w:numId="3">
    <w:abstractNumId w:val="2"/>
  </w:num>
  <w:num w:numId="4">
    <w:abstractNumId w:val="4"/>
  </w:num>
  <w:num w:numId="5">
    <w:abstractNumId w:val="8"/>
  </w:num>
  <w:num w:numId="6">
    <w:abstractNumId w:val="10"/>
  </w:num>
  <w:num w:numId="7">
    <w:abstractNumId w:val="5"/>
  </w:num>
  <w:num w:numId="8">
    <w:abstractNumId w:val="12"/>
  </w:num>
  <w:num w:numId="9">
    <w:abstractNumId w:val="9"/>
  </w:num>
  <w:num w:numId="10">
    <w:abstractNumId w:val="0"/>
  </w:num>
  <w:num w:numId="11">
    <w:abstractNumId w:val="0"/>
  </w:num>
  <w:num w:numId="12">
    <w:abstractNumId w:val="0"/>
  </w:num>
  <w:num w:numId="13">
    <w:abstractNumId w:val="11"/>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3"/>
  </w:num>
  <w:num w:numId="22">
    <w:abstractNumId w:val="7"/>
  </w:num>
  <w:num w:numId="23">
    <w:abstractNumId w:val="0"/>
  </w:num>
  <w:num w:numId="24">
    <w:abstractNumId w:val="6"/>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footnote w:id="-1"/>
    <w:footnote w:id="0"/>
  </w:footnotePr>
  <w:endnotePr>
    <w:endnote w:id="-1"/>
    <w:endnote w:id="0"/>
  </w:endnotePr>
  <w:compat>
    <w:spaceForUL/>
    <w:balanceSingleByteDoubleByteWidth/>
    <w:doNotLeaveBackslashAlone/>
    <w:ulTrailSpace/>
    <w:adjustLineHeightInTable/>
  </w:compat>
  <w:rsids>
    <w:rsidRoot w:val="00193F88"/>
    <w:rsid w:val="00000A55"/>
    <w:rsid w:val="000015D3"/>
    <w:rsid w:val="00001A55"/>
    <w:rsid w:val="00001BF7"/>
    <w:rsid w:val="00006FE8"/>
    <w:rsid w:val="000114C9"/>
    <w:rsid w:val="000174EE"/>
    <w:rsid w:val="0002611F"/>
    <w:rsid w:val="000307EA"/>
    <w:rsid w:val="00035E2D"/>
    <w:rsid w:val="0004083E"/>
    <w:rsid w:val="0004216B"/>
    <w:rsid w:val="0004283B"/>
    <w:rsid w:val="00042D43"/>
    <w:rsid w:val="00043C81"/>
    <w:rsid w:val="000448DE"/>
    <w:rsid w:val="00047A8E"/>
    <w:rsid w:val="00047E2C"/>
    <w:rsid w:val="0005357A"/>
    <w:rsid w:val="0005406D"/>
    <w:rsid w:val="00054639"/>
    <w:rsid w:val="00057C80"/>
    <w:rsid w:val="00062837"/>
    <w:rsid w:val="00063606"/>
    <w:rsid w:val="00064933"/>
    <w:rsid w:val="00067854"/>
    <w:rsid w:val="00070919"/>
    <w:rsid w:val="00071B18"/>
    <w:rsid w:val="00072221"/>
    <w:rsid w:val="0007493C"/>
    <w:rsid w:val="00080E72"/>
    <w:rsid w:val="000838ED"/>
    <w:rsid w:val="0008598D"/>
    <w:rsid w:val="00085E3A"/>
    <w:rsid w:val="00085F13"/>
    <w:rsid w:val="000867DD"/>
    <w:rsid w:val="00086B4F"/>
    <w:rsid w:val="00090AD4"/>
    <w:rsid w:val="000910F0"/>
    <w:rsid w:val="00091DB2"/>
    <w:rsid w:val="00094B61"/>
    <w:rsid w:val="000960E3"/>
    <w:rsid w:val="000A0C6D"/>
    <w:rsid w:val="000A2EB7"/>
    <w:rsid w:val="000A40F9"/>
    <w:rsid w:val="000A4BA0"/>
    <w:rsid w:val="000A6474"/>
    <w:rsid w:val="000B0392"/>
    <w:rsid w:val="000B1D5E"/>
    <w:rsid w:val="000B393B"/>
    <w:rsid w:val="000B3DC2"/>
    <w:rsid w:val="000B5CC7"/>
    <w:rsid w:val="000B73D8"/>
    <w:rsid w:val="000B75EE"/>
    <w:rsid w:val="000C06AA"/>
    <w:rsid w:val="000C1488"/>
    <w:rsid w:val="000C4979"/>
    <w:rsid w:val="000D0373"/>
    <w:rsid w:val="000D15A4"/>
    <w:rsid w:val="000D2525"/>
    <w:rsid w:val="000D55FB"/>
    <w:rsid w:val="000D5E24"/>
    <w:rsid w:val="000E2603"/>
    <w:rsid w:val="000E28A3"/>
    <w:rsid w:val="000E2F93"/>
    <w:rsid w:val="000E3A21"/>
    <w:rsid w:val="000E588C"/>
    <w:rsid w:val="000E654A"/>
    <w:rsid w:val="000E66D0"/>
    <w:rsid w:val="000E71F4"/>
    <w:rsid w:val="000E72E2"/>
    <w:rsid w:val="000F0DD3"/>
    <w:rsid w:val="000F3744"/>
    <w:rsid w:val="000F3C58"/>
    <w:rsid w:val="000F3F57"/>
    <w:rsid w:val="000F4757"/>
    <w:rsid w:val="00101230"/>
    <w:rsid w:val="00102C55"/>
    <w:rsid w:val="00104992"/>
    <w:rsid w:val="00106FE9"/>
    <w:rsid w:val="001104A3"/>
    <w:rsid w:val="00110E21"/>
    <w:rsid w:val="00110EFB"/>
    <w:rsid w:val="001113A1"/>
    <w:rsid w:val="001124A3"/>
    <w:rsid w:val="001137F4"/>
    <w:rsid w:val="00114043"/>
    <w:rsid w:val="001149A8"/>
    <w:rsid w:val="00115301"/>
    <w:rsid w:val="00115D32"/>
    <w:rsid w:val="001177BB"/>
    <w:rsid w:val="0012082F"/>
    <w:rsid w:val="0012089F"/>
    <w:rsid w:val="001209C2"/>
    <w:rsid w:val="00121A72"/>
    <w:rsid w:val="00123793"/>
    <w:rsid w:val="001242F5"/>
    <w:rsid w:val="00124CE9"/>
    <w:rsid w:val="001250EC"/>
    <w:rsid w:val="001262F7"/>
    <w:rsid w:val="00127602"/>
    <w:rsid w:val="001326CC"/>
    <w:rsid w:val="001376C6"/>
    <w:rsid w:val="001411EC"/>
    <w:rsid w:val="00142397"/>
    <w:rsid w:val="0014573D"/>
    <w:rsid w:val="00146BE7"/>
    <w:rsid w:val="00151659"/>
    <w:rsid w:val="00151935"/>
    <w:rsid w:val="00151AEC"/>
    <w:rsid w:val="00152111"/>
    <w:rsid w:val="00154165"/>
    <w:rsid w:val="00155281"/>
    <w:rsid w:val="00155A27"/>
    <w:rsid w:val="00156D77"/>
    <w:rsid w:val="00161B36"/>
    <w:rsid w:val="0016522B"/>
    <w:rsid w:val="00165F49"/>
    <w:rsid w:val="0016700F"/>
    <w:rsid w:val="00170EEC"/>
    <w:rsid w:val="00172E96"/>
    <w:rsid w:val="001732B5"/>
    <w:rsid w:val="0017368B"/>
    <w:rsid w:val="0017378A"/>
    <w:rsid w:val="00174320"/>
    <w:rsid w:val="00174EE4"/>
    <w:rsid w:val="001824BD"/>
    <w:rsid w:val="0018307A"/>
    <w:rsid w:val="001840A9"/>
    <w:rsid w:val="00186C71"/>
    <w:rsid w:val="00186F44"/>
    <w:rsid w:val="00187A36"/>
    <w:rsid w:val="00187B64"/>
    <w:rsid w:val="00190A6E"/>
    <w:rsid w:val="00191213"/>
    <w:rsid w:val="00193A7B"/>
    <w:rsid w:val="00193F88"/>
    <w:rsid w:val="001944E3"/>
    <w:rsid w:val="00197430"/>
    <w:rsid w:val="001978F0"/>
    <w:rsid w:val="001A0069"/>
    <w:rsid w:val="001A07EE"/>
    <w:rsid w:val="001A1F23"/>
    <w:rsid w:val="001A2285"/>
    <w:rsid w:val="001A5763"/>
    <w:rsid w:val="001A619F"/>
    <w:rsid w:val="001A6CC9"/>
    <w:rsid w:val="001B1CBE"/>
    <w:rsid w:val="001B2E21"/>
    <w:rsid w:val="001B5799"/>
    <w:rsid w:val="001B6855"/>
    <w:rsid w:val="001C08E2"/>
    <w:rsid w:val="001C29D5"/>
    <w:rsid w:val="001C2BEA"/>
    <w:rsid w:val="001C4454"/>
    <w:rsid w:val="001D0EC3"/>
    <w:rsid w:val="001D1A27"/>
    <w:rsid w:val="001D1FB8"/>
    <w:rsid w:val="001D3624"/>
    <w:rsid w:val="001D482F"/>
    <w:rsid w:val="001D7E65"/>
    <w:rsid w:val="001E0BE9"/>
    <w:rsid w:val="001E2A92"/>
    <w:rsid w:val="001E2CCF"/>
    <w:rsid w:val="001E4443"/>
    <w:rsid w:val="001E4758"/>
    <w:rsid w:val="001E5794"/>
    <w:rsid w:val="001E6672"/>
    <w:rsid w:val="001E6810"/>
    <w:rsid w:val="001F10B4"/>
    <w:rsid w:val="001F13BA"/>
    <w:rsid w:val="001F333F"/>
    <w:rsid w:val="001F614D"/>
    <w:rsid w:val="001F7A44"/>
    <w:rsid w:val="002000DC"/>
    <w:rsid w:val="0020188D"/>
    <w:rsid w:val="00202DD0"/>
    <w:rsid w:val="002031D9"/>
    <w:rsid w:val="00205F0D"/>
    <w:rsid w:val="0020644E"/>
    <w:rsid w:val="00207811"/>
    <w:rsid w:val="00207D5A"/>
    <w:rsid w:val="00211740"/>
    <w:rsid w:val="0021287C"/>
    <w:rsid w:val="00212FCF"/>
    <w:rsid w:val="00214201"/>
    <w:rsid w:val="0021555D"/>
    <w:rsid w:val="00222900"/>
    <w:rsid w:val="002230B1"/>
    <w:rsid w:val="0022354F"/>
    <w:rsid w:val="0022494E"/>
    <w:rsid w:val="002254FE"/>
    <w:rsid w:val="002261BF"/>
    <w:rsid w:val="002265CA"/>
    <w:rsid w:val="00227EC9"/>
    <w:rsid w:val="00230860"/>
    <w:rsid w:val="00230951"/>
    <w:rsid w:val="00231E15"/>
    <w:rsid w:val="00232DC9"/>
    <w:rsid w:val="00232EEC"/>
    <w:rsid w:val="00237156"/>
    <w:rsid w:val="002400F9"/>
    <w:rsid w:val="0024014D"/>
    <w:rsid w:val="00240CB9"/>
    <w:rsid w:val="00240EDF"/>
    <w:rsid w:val="00242780"/>
    <w:rsid w:val="00246377"/>
    <w:rsid w:val="002473C0"/>
    <w:rsid w:val="002473F5"/>
    <w:rsid w:val="00251802"/>
    <w:rsid w:val="00254561"/>
    <w:rsid w:val="00254DDF"/>
    <w:rsid w:val="002554C4"/>
    <w:rsid w:val="00256D35"/>
    <w:rsid w:val="00262199"/>
    <w:rsid w:val="00264E6B"/>
    <w:rsid w:val="00270262"/>
    <w:rsid w:val="00270505"/>
    <w:rsid w:val="0027128B"/>
    <w:rsid w:val="0027423C"/>
    <w:rsid w:val="0028334D"/>
    <w:rsid w:val="00285775"/>
    <w:rsid w:val="002929FC"/>
    <w:rsid w:val="00294DE3"/>
    <w:rsid w:val="00295198"/>
    <w:rsid w:val="002960E3"/>
    <w:rsid w:val="0029633C"/>
    <w:rsid w:val="002A0C8F"/>
    <w:rsid w:val="002A26FC"/>
    <w:rsid w:val="002A44D4"/>
    <w:rsid w:val="002A4853"/>
    <w:rsid w:val="002A4F6D"/>
    <w:rsid w:val="002A5251"/>
    <w:rsid w:val="002A5558"/>
    <w:rsid w:val="002A71EB"/>
    <w:rsid w:val="002A7553"/>
    <w:rsid w:val="002A7DB1"/>
    <w:rsid w:val="002B0DDF"/>
    <w:rsid w:val="002B3A45"/>
    <w:rsid w:val="002B43A9"/>
    <w:rsid w:val="002B56AC"/>
    <w:rsid w:val="002B7792"/>
    <w:rsid w:val="002C0C51"/>
    <w:rsid w:val="002C1A41"/>
    <w:rsid w:val="002C2C80"/>
    <w:rsid w:val="002C332D"/>
    <w:rsid w:val="002C4566"/>
    <w:rsid w:val="002C4C46"/>
    <w:rsid w:val="002C6919"/>
    <w:rsid w:val="002D1D88"/>
    <w:rsid w:val="002D4474"/>
    <w:rsid w:val="002E12DD"/>
    <w:rsid w:val="002E1D18"/>
    <w:rsid w:val="002E21B6"/>
    <w:rsid w:val="002E280F"/>
    <w:rsid w:val="002E2F22"/>
    <w:rsid w:val="002F5AE2"/>
    <w:rsid w:val="002F659C"/>
    <w:rsid w:val="003002BC"/>
    <w:rsid w:val="00300E11"/>
    <w:rsid w:val="0030277A"/>
    <w:rsid w:val="00305016"/>
    <w:rsid w:val="00305DD9"/>
    <w:rsid w:val="00307C73"/>
    <w:rsid w:val="00315446"/>
    <w:rsid w:val="003168A1"/>
    <w:rsid w:val="00320750"/>
    <w:rsid w:val="00321542"/>
    <w:rsid w:val="00321C38"/>
    <w:rsid w:val="00321F16"/>
    <w:rsid w:val="00322304"/>
    <w:rsid w:val="00324E46"/>
    <w:rsid w:val="0032521F"/>
    <w:rsid w:val="00326F21"/>
    <w:rsid w:val="00332B7E"/>
    <w:rsid w:val="003362EE"/>
    <w:rsid w:val="0033736B"/>
    <w:rsid w:val="00344FFE"/>
    <w:rsid w:val="0034520A"/>
    <w:rsid w:val="003462A2"/>
    <w:rsid w:val="00347E76"/>
    <w:rsid w:val="0035172E"/>
    <w:rsid w:val="0035344E"/>
    <w:rsid w:val="00353699"/>
    <w:rsid w:val="003618ED"/>
    <w:rsid w:val="00362098"/>
    <w:rsid w:val="0036252D"/>
    <w:rsid w:val="00363F81"/>
    <w:rsid w:val="00365AA0"/>
    <w:rsid w:val="00367504"/>
    <w:rsid w:val="00367D92"/>
    <w:rsid w:val="0037218B"/>
    <w:rsid w:val="00372404"/>
    <w:rsid w:val="0037267F"/>
    <w:rsid w:val="003731EC"/>
    <w:rsid w:val="0037659E"/>
    <w:rsid w:val="00376AE2"/>
    <w:rsid w:val="00380363"/>
    <w:rsid w:val="00382FE0"/>
    <w:rsid w:val="003846BE"/>
    <w:rsid w:val="00384937"/>
    <w:rsid w:val="00387F77"/>
    <w:rsid w:val="003903B8"/>
    <w:rsid w:val="00394465"/>
    <w:rsid w:val="0039696D"/>
    <w:rsid w:val="00397895"/>
    <w:rsid w:val="003A5527"/>
    <w:rsid w:val="003B6BC9"/>
    <w:rsid w:val="003C07ED"/>
    <w:rsid w:val="003C0CDC"/>
    <w:rsid w:val="003C2953"/>
    <w:rsid w:val="003C39ED"/>
    <w:rsid w:val="003D0F1C"/>
    <w:rsid w:val="003D1756"/>
    <w:rsid w:val="003D18A8"/>
    <w:rsid w:val="003D23C0"/>
    <w:rsid w:val="003D318D"/>
    <w:rsid w:val="003D31B7"/>
    <w:rsid w:val="003D674D"/>
    <w:rsid w:val="003D6BB4"/>
    <w:rsid w:val="003D6DCF"/>
    <w:rsid w:val="003E5702"/>
    <w:rsid w:val="003E6F4B"/>
    <w:rsid w:val="003F210B"/>
    <w:rsid w:val="003F38AD"/>
    <w:rsid w:val="003F4669"/>
    <w:rsid w:val="003F4DBC"/>
    <w:rsid w:val="003F6CD9"/>
    <w:rsid w:val="003F726E"/>
    <w:rsid w:val="00400467"/>
    <w:rsid w:val="00401632"/>
    <w:rsid w:val="00402A34"/>
    <w:rsid w:val="004102D9"/>
    <w:rsid w:val="00410BD5"/>
    <w:rsid w:val="004132CF"/>
    <w:rsid w:val="00413B5F"/>
    <w:rsid w:val="0041724E"/>
    <w:rsid w:val="0041780B"/>
    <w:rsid w:val="00417C77"/>
    <w:rsid w:val="00420AD4"/>
    <w:rsid w:val="00422438"/>
    <w:rsid w:val="00424816"/>
    <w:rsid w:val="004275AE"/>
    <w:rsid w:val="00431DB3"/>
    <w:rsid w:val="00432131"/>
    <w:rsid w:val="0043354F"/>
    <w:rsid w:val="00436BC2"/>
    <w:rsid w:val="00437818"/>
    <w:rsid w:val="00440C44"/>
    <w:rsid w:val="00441738"/>
    <w:rsid w:val="00442170"/>
    <w:rsid w:val="00443847"/>
    <w:rsid w:val="004439CB"/>
    <w:rsid w:val="00443A24"/>
    <w:rsid w:val="00444244"/>
    <w:rsid w:val="00444661"/>
    <w:rsid w:val="00444DF6"/>
    <w:rsid w:val="0044519F"/>
    <w:rsid w:val="00453DFD"/>
    <w:rsid w:val="00454AAE"/>
    <w:rsid w:val="004569EF"/>
    <w:rsid w:val="00457FD8"/>
    <w:rsid w:val="00460BB2"/>
    <w:rsid w:val="00461424"/>
    <w:rsid w:val="004617CB"/>
    <w:rsid w:val="00461834"/>
    <w:rsid w:val="00465032"/>
    <w:rsid w:val="00466BFA"/>
    <w:rsid w:val="00467FE8"/>
    <w:rsid w:val="00470DAF"/>
    <w:rsid w:val="00470E31"/>
    <w:rsid w:val="0047131B"/>
    <w:rsid w:val="00475797"/>
    <w:rsid w:val="00475A0C"/>
    <w:rsid w:val="00476360"/>
    <w:rsid w:val="00476742"/>
    <w:rsid w:val="004814F5"/>
    <w:rsid w:val="00482DBC"/>
    <w:rsid w:val="004838BA"/>
    <w:rsid w:val="0048463E"/>
    <w:rsid w:val="00484C62"/>
    <w:rsid w:val="0049005A"/>
    <w:rsid w:val="004913F4"/>
    <w:rsid w:val="004A25F9"/>
    <w:rsid w:val="004A2A73"/>
    <w:rsid w:val="004A2BF1"/>
    <w:rsid w:val="004A50F9"/>
    <w:rsid w:val="004B07B2"/>
    <w:rsid w:val="004B13E7"/>
    <w:rsid w:val="004B2214"/>
    <w:rsid w:val="004B39D9"/>
    <w:rsid w:val="004B4246"/>
    <w:rsid w:val="004B47A9"/>
    <w:rsid w:val="004B5419"/>
    <w:rsid w:val="004C1241"/>
    <w:rsid w:val="004C18AB"/>
    <w:rsid w:val="004C4562"/>
    <w:rsid w:val="004C6AE0"/>
    <w:rsid w:val="004C6ED4"/>
    <w:rsid w:val="004D02DA"/>
    <w:rsid w:val="004D18F5"/>
    <w:rsid w:val="004E110F"/>
    <w:rsid w:val="004E123B"/>
    <w:rsid w:val="004E4880"/>
    <w:rsid w:val="004E5834"/>
    <w:rsid w:val="004F25BF"/>
    <w:rsid w:val="004F410E"/>
    <w:rsid w:val="004F486A"/>
    <w:rsid w:val="004F5FA9"/>
    <w:rsid w:val="00501224"/>
    <w:rsid w:val="0050351E"/>
    <w:rsid w:val="00506113"/>
    <w:rsid w:val="005075A9"/>
    <w:rsid w:val="00507B1E"/>
    <w:rsid w:val="00510D14"/>
    <w:rsid w:val="005166A8"/>
    <w:rsid w:val="00517831"/>
    <w:rsid w:val="00520EEA"/>
    <w:rsid w:val="005216B4"/>
    <w:rsid w:val="00521D4F"/>
    <w:rsid w:val="00522D19"/>
    <w:rsid w:val="00526ADD"/>
    <w:rsid w:val="00530905"/>
    <w:rsid w:val="00531254"/>
    <w:rsid w:val="0053188F"/>
    <w:rsid w:val="0053288C"/>
    <w:rsid w:val="0053309C"/>
    <w:rsid w:val="0053540D"/>
    <w:rsid w:val="00535C7B"/>
    <w:rsid w:val="00536D34"/>
    <w:rsid w:val="0053736F"/>
    <w:rsid w:val="005474AA"/>
    <w:rsid w:val="0054754B"/>
    <w:rsid w:val="00547CAA"/>
    <w:rsid w:val="00550B4A"/>
    <w:rsid w:val="005521C0"/>
    <w:rsid w:val="00552398"/>
    <w:rsid w:val="00552C9A"/>
    <w:rsid w:val="00553A52"/>
    <w:rsid w:val="00554E98"/>
    <w:rsid w:val="005564DC"/>
    <w:rsid w:val="00562C66"/>
    <w:rsid w:val="00566DC1"/>
    <w:rsid w:val="00572502"/>
    <w:rsid w:val="00573B14"/>
    <w:rsid w:val="0057458F"/>
    <w:rsid w:val="00576386"/>
    <w:rsid w:val="0057656A"/>
    <w:rsid w:val="005804C3"/>
    <w:rsid w:val="005805CC"/>
    <w:rsid w:val="005813EE"/>
    <w:rsid w:val="005847CE"/>
    <w:rsid w:val="00586E43"/>
    <w:rsid w:val="005871F3"/>
    <w:rsid w:val="00590B93"/>
    <w:rsid w:val="00590C5A"/>
    <w:rsid w:val="00590EE3"/>
    <w:rsid w:val="0059258F"/>
    <w:rsid w:val="00592C41"/>
    <w:rsid w:val="0059534B"/>
    <w:rsid w:val="00597A5C"/>
    <w:rsid w:val="005A21A4"/>
    <w:rsid w:val="005A3178"/>
    <w:rsid w:val="005A46E2"/>
    <w:rsid w:val="005B01E4"/>
    <w:rsid w:val="005B0654"/>
    <w:rsid w:val="005B1AD1"/>
    <w:rsid w:val="005B227D"/>
    <w:rsid w:val="005B5142"/>
    <w:rsid w:val="005C15B8"/>
    <w:rsid w:val="005C27F2"/>
    <w:rsid w:val="005C2DFF"/>
    <w:rsid w:val="005C3E22"/>
    <w:rsid w:val="005D062B"/>
    <w:rsid w:val="005D09DB"/>
    <w:rsid w:val="005D23E3"/>
    <w:rsid w:val="005D4849"/>
    <w:rsid w:val="005D51A4"/>
    <w:rsid w:val="005D669A"/>
    <w:rsid w:val="005E12B2"/>
    <w:rsid w:val="005E21AD"/>
    <w:rsid w:val="005E53F9"/>
    <w:rsid w:val="005E753F"/>
    <w:rsid w:val="005F0E6A"/>
    <w:rsid w:val="005F2C02"/>
    <w:rsid w:val="005F4FBE"/>
    <w:rsid w:val="005F5119"/>
    <w:rsid w:val="005F6061"/>
    <w:rsid w:val="005F6ADA"/>
    <w:rsid w:val="005F7D5C"/>
    <w:rsid w:val="00602AA7"/>
    <w:rsid w:val="00602F0C"/>
    <w:rsid w:val="00604F7B"/>
    <w:rsid w:val="00607A81"/>
    <w:rsid w:val="00611220"/>
    <w:rsid w:val="00611BB1"/>
    <w:rsid w:val="00612F07"/>
    <w:rsid w:val="006132A3"/>
    <w:rsid w:val="006133E6"/>
    <w:rsid w:val="00616697"/>
    <w:rsid w:val="00616A8A"/>
    <w:rsid w:val="00616FA4"/>
    <w:rsid w:val="006229C9"/>
    <w:rsid w:val="00623ED3"/>
    <w:rsid w:val="00624EC0"/>
    <w:rsid w:val="006263E4"/>
    <w:rsid w:val="00626E86"/>
    <w:rsid w:val="006306A8"/>
    <w:rsid w:val="0063155A"/>
    <w:rsid w:val="00631996"/>
    <w:rsid w:val="00632981"/>
    <w:rsid w:val="00633D79"/>
    <w:rsid w:val="00637300"/>
    <w:rsid w:val="00640751"/>
    <w:rsid w:val="00642D6B"/>
    <w:rsid w:val="00644400"/>
    <w:rsid w:val="006463CE"/>
    <w:rsid w:val="0065087A"/>
    <w:rsid w:val="00650B68"/>
    <w:rsid w:val="00651F93"/>
    <w:rsid w:val="006521BE"/>
    <w:rsid w:val="0065498A"/>
    <w:rsid w:val="00655F3F"/>
    <w:rsid w:val="006574F9"/>
    <w:rsid w:val="006615EE"/>
    <w:rsid w:val="00662211"/>
    <w:rsid w:val="006622FA"/>
    <w:rsid w:val="0066247C"/>
    <w:rsid w:val="00663A4D"/>
    <w:rsid w:val="00663EF2"/>
    <w:rsid w:val="00664D9C"/>
    <w:rsid w:val="006661C2"/>
    <w:rsid w:val="00667271"/>
    <w:rsid w:val="00672002"/>
    <w:rsid w:val="00672367"/>
    <w:rsid w:val="00673234"/>
    <w:rsid w:val="006756FD"/>
    <w:rsid w:val="006761BA"/>
    <w:rsid w:val="006811A9"/>
    <w:rsid w:val="00682028"/>
    <w:rsid w:val="00683DD4"/>
    <w:rsid w:val="00685447"/>
    <w:rsid w:val="00685E1B"/>
    <w:rsid w:val="0069220B"/>
    <w:rsid w:val="00693400"/>
    <w:rsid w:val="00693884"/>
    <w:rsid w:val="006949C9"/>
    <w:rsid w:val="0069580B"/>
    <w:rsid w:val="00697165"/>
    <w:rsid w:val="006A3B44"/>
    <w:rsid w:val="006A4C11"/>
    <w:rsid w:val="006A5045"/>
    <w:rsid w:val="006A5894"/>
    <w:rsid w:val="006A5A94"/>
    <w:rsid w:val="006A6C58"/>
    <w:rsid w:val="006B1903"/>
    <w:rsid w:val="006B25B5"/>
    <w:rsid w:val="006B5A27"/>
    <w:rsid w:val="006B640E"/>
    <w:rsid w:val="006C0219"/>
    <w:rsid w:val="006C1F58"/>
    <w:rsid w:val="006C1F8F"/>
    <w:rsid w:val="006C2936"/>
    <w:rsid w:val="006C3712"/>
    <w:rsid w:val="006C3EB0"/>
    <w:rsid w:val="006C4C80"/>
    <w:rsid w:val="006C59BA"/>
    <w:rsid w:val="006C5E0B"/>
    <w:rsid w:val="006C7859"/>
    <w:rsid w:val="006D1D4E"/>
    <w:rsid w:val="006E0061"/>
    <w:rsid w:val="006E3B67"/>
    <w:rsid w:val="006E5C3C"/>
    <w:rsid w:val="006E7063"/>
    <w:rsid w:val="006F0645"/>
    <w:rsid w:val="006F1029"/>
    <w:rsid w:val="006F3EAF"/>
    <w:rsid w:val="006F642B"/>
    <w:rsid w:val="006F6F7B"/>
    <w:rsid w:val="00700321"/>
    <w:rsid w:val="00703A91"/>
    <w:rsid w:val="00703E20"/>
    <w:rsid w:val="007078F6"/>
    <w:rsid w:val="0071013E"/>
    <w:rsid w:val="00711206"/>
    <w:rsid w:val="007144B4"/>
    <w:rsid w:val="00732390"/>
    <w:rsid w:val="007324EF"/>
    <w:rsid w:val="00735D93"/>
    <w:rsid w:val="00736AE2"/>
    <w:rsid w:val="007408F2"/>
    <w:rsid w:val="00740DC6"/>
    <w:rsid w:val="00742DFC"/>
    <w:rsid w:val="00743D0B"/>
    <w:rsid w:val="007440D4"/>
    <w:rsid w:val="007450EF"/>
    <w:rsid w:val="00746124"/>
    <w:rsid w:val="00750D8E"/>
    <w:rsid w:val="0075160A"/>
    <w:rsid w:val="00751CD5"/>
    <w:rsid w:val="007524A6"/>
    <w:rsid w:val="00754064"/>
    <w:rsid w:val="00755183"/>
    <w:rsid w:val="007555AB"/>
    <w:rsid w:val="00755E62"/>
    <w:rsid w:val="007662E4"/>
    <w:rsid w:val="0076632F"/>
    <w:rsid w:val="00774BC8"/>
    <w:rsid w:val="00775477"/>
    <w:rsid w:val="00775DEF"/>
    <w:rsid w:val="007775FF"/>
    <w:rsid w:val="00780747"/>
    <w:rsid w:val="00782463"/>
    <w:rsid w:val="00783063"/>
    <w:rsid w:val="0078342F"/>
    <w:rsid w:val="00791AD4"/>
    <w:rsid w:val="00794826"/>
    <w:rsid w:val="00794828"/>
    <w:rsid w:val="00795E1D"/>
    <w:rsid w:val="0079618A"/>
    <w:rsid w:val="00796AD7"/>
    <w:rsid w:val="007A323D"/>
    <w:rsid w:val="007A35AF"/>
    <w:rsid w:val="007A450B"/>
    <w:rsid w:val="007B1979"/>
    <w:rsid w:val="007B51AF"/>
    <w:rsid w:val="007B69A8"/>
    <w:rsid w:val="007B7114"/>
    <w:rsid w:val="007C13B0"/>
    <w:rsid w:val="007C367A"/>
    <w:rsid w:val="007C5406"/>
    <w:rsid w:val="007C5A61"/>
    <w:rsid w:val="007C62DD"/>
    <w:rsid w:val="007C6F82"/>
    <w:rsid w:val="007C76F4"/>
    <w:rsid w:val="007C793F"/>
    <w:rsid w:val="007C7A01"/>
    <w:rsid w:val="007C7F73"/>
    <w:rsid w:val="007D0129"/>
    <w:rsid w:val="007D10E1"/>
    <w:rsid w:val="007D2B46"/>
    <w:rsid w:val="007D2F4A"/>
    <w:rsid w:val="007D3931"/>
    <w:rsid w:val="007D5753"/>
    <w:rsid w:val="007E0453"/>
    <w:rsid w:val="007E0965"/>
    <w:rsid w:val="007E100C"/>
    <w:rsid w:val="007E159F"/>
    <w:rsid w:val="007E15C5"/>
    <w:rsid w:val="007E1D68"/>
    <w:rsid w:val="007E2BBD"/>
    <w:rsid w:val="007E30AA"/>
    <w:rsid w:val="007E5A39"/>
    <w:rsid w:val="007E6D03"/>
    <w:rsid w:val="007E77F7"/>
    <w:rsid w:val="007F2DEF"/>
    <w:rsid w:val="007F3ADE"/>
    <w:rsid w:val="007F4468"/>
    <w:rsid w:val="007F467F"/>
    <w:rsid w:val="007F611B"/>
    <w:rsid w:val="007F6E4D"/>
    <w:rsid w:val="00802A61"/>
    <w:rsid w:val="00805013"/>
    <w:rsid w:val="00805723"/>
    <w:rsid w:val="00805C66"/>
    <w:rsid w:val="0080683B"/>
    <w:rsid w:val="00806998"/>
    <w:rsid w:val="0081253B"/>
    <w:rsid w:val="00812DD6"/>
    <w:rsid w:val="00813C86"/>
    <w:rsid w:val="00814585"/>
    <w:rsid w:val="008146DD"/>
    <w:rsid w:val="00817A27"/>
    <w:rsid w:val="00817E73"/>
    <w:rsid w:val="00821203"/>
    <w:rsid w:val="008238D5"/>
    <w:rsid w:val="00824BE8"/>
    <w:rsid w:val="00825B9A"/>
    <w:rsid w:val="008303A7"/>
    <w:rsid w:val="00830945"/>
    <w:rsid w:val="008309D9"/>
    <w:rsid w:val="0083191A"/>
    <w:rsid w:val="008335E2"/>
    <w:rsid w:val="00836C1F"/>
    <w:rsid w:val="00837574"/>
    <w:rsid w:val="00840CE4"/>
    <w:rsid w:val="008450B7"/>
    <w:rsid w:val="0084789D"/>
    <w:rsid w:val="00847D59"/>
    <w:rsid w:val="00851133"/>
    <w:rsid w:val="00854EC1"/>
    <w:rsid w:val="008553B8"/>
    <w:rsid w:val="0085568C"/>
    <w:rsid w:val="00863C64"/>
    <w:rsid w:val="00865F61"/>
    <w:rsid w:val="00866697"/>
    <w:rsid w:val="008669FA"/>
    <w:rsid w:val="00867419"/>
    <w:rsid w:val="0086742B"/>
    <w:rsid w:val="00867D20"/>
    <w:rsid w:val="00872678"/>
    <w:rsid w:val="00873DDE"/>
    <w:rsid w:val="0087502D"/>
    <w:rsid w:val="0088058E"/>
    <w:rsid w:val="00881EB4"/>
    <w:rsid w:val="00883A4E"/>
    <w:rsid w:val="0088402F"/>
    <w:rsid w:val="00893F30"/>
    <w:rsid w:val="008941D6"/>
    <w:rsid w:val="00894B4E"/>
    <w:rsid w:val="00894F70"/>
    <w:rsid w:val="008A03E9"/>
    <w:rsid w:val="008A0EE0"/>
    <w:rsid w:val="008A267B"/>
    <w:rsid w:val="008A2CBD"/>
    <w:rsid w:val="008A6223"/>
    <w:rsid w:val="008A6A73"/>
    <w:rsid w:val="008A6BB3"/>
    <w:rsid w:val="008B0845"/>
    <w:rsid w:val="008B09DB"/>
    <w:rsid w:val="008B3D42"/>
    <w:rsid w:val="008B414F"/>
    <w:rsid w:val="008B4369"/>
    <w:rsid w:val="008B539D"/>
    <w:rsid w:val="008B5A40"/>
    <w:rsid w:val="008B724A"/>
    <w:rsid w:val="008C01D2"/>
    <w:rsid w:val="008C02FA"/>
    <w:rsid w:val="008C3197"/>
    <w:rsid w:val="008C65CA"/>
    <w:rsid w:val="008D061C"/>
    <w:rsid w:val="008D162E"/>
    <w:rsid w:val="008D48BF"/>
    <w:rsid w:val="008D52C9"/>
    <w:rsid w:val="008D670E"/>
    <w:rsid w:val="008E0607"/>
    <w:rsid w:val="008E1264"/>
    <w:rsid w:val="008E148D"/>
    <w:rsid w:val="008E3F1C"/>
    <w:rsid w:val="008E572E"/>
    <w:rsid w:val="008E7FDB"/>
    <w:rsid w:val="008F0017"/>
    <w:rsid w:val="008F05C0"/>
    <w:rsid w:val="008F0F30"/>
    <w:rsid w:val="008F27DF"/>
    <w:rsid w:val="008F482F"/>
    <w:rsid w:val="00900205"/>
    <w:rsid w:val="00902ED9"/>
    <w:rsid w:val="009054DE"/>
    <w:rsid w:val="009056D7"/>
    <w:rsid w:val="009058BC"/>
    <w:rsid w:val="00905F61"/>
    <w:rsid w:val="00905F79"/>
    <w:rsid w:val="00907783"/>
    <w:rsid w:val="0091038A"/>
    <w:rsid w:val="0091053B"/>
    <w:rsid w:val="009125EB"/>
    <w:rsid w:val="00915E48"/>
    <w:rsid w:val="00916FBE"/>
    <w:rsid w:val="0091723B"/>
    <w:rsid w:val="00923421"/>
    <w:rsid w:val="0092405E"/>
    <w:rsid w:val="00924B74"/>
    <w:rsid w:val="009256C2"/>
    <w:rsid w:val="00927CE5"/>
    <w:rsid w:val="00931114"/>
    <w:rsid w:val="00932C83"/>
    <w:rsid w:val="00933A30"/>
    <w:rsid w:val="0093758F"/>
    <w:rsid w:val="009438A2"/>
    <w:rsid w:val="009457FB"/>
    <w:rsid w:val="0094688C"/>
    <w:rsid w:val="0095011D"/>
    <w:rsid w:val="00950C72"/>
    <w:rsid w:val="00952357"/>
    <w:rsid w:val="00952670"/>
    <w:rsid w:val="00956856"/>
    <w:rsid w:val="00956ABC"/>
    <w:rsid w:val="00956E3F"/>
    <w:rsid w:val="00963081"/>
    <w:rsid w:val="00963308"/>
    <w:rsid w:val="009650BA"/>
    <w:rsid w:val="00965A49"/>
    <w:rsid w:val="00967DE5"/>
    <w:rsid w:val="00973F9D"/>
    <w:rsid w:val="00976CEF"/>
    <w:rsid w:val="009805C6"/>
    <w:rsid w:val="00981FF5"/>
    <w:rsid w:val="00982D81"/>
    <w:rsid w:val="00985DF0"/>
    <w:rsid w:val="009874E4"/>
    <w:rsid w:val="009875E7"/>
    <w:rsid w:val="00987BBE"/>
    <w:rsid w:val="00992041"/>
    <w:rsid w:val="00993233"/>
    <w:rsid w:val="00993388"/>
    <w:rsid w:val="00993B7C"/>
    <w:rsid w:val="00997EFE"/>
    <w:rsid w:val="009A0C87"/>
    <w:rsid w:val="009A198F"/>
    <w:rsid w:val="009A2783"/>
    <w:rsid w:val="009A2BF0"/>
    <w:rsid w:val="009A4039"/>
    <w:rsid w:val="009A5D15"/>
    <w:rsid w:val="009A7AC2"/>
    <w:rsid w:val="009B02F7"/>
    <w:rsid w:val="009B107C"/>
    <w:rsid w:val="009B21B7"/>
    <w:rsid w:val="009B25D4"/>
    <w:rsid w:val="009B4CB0"/>
    <w:rsid w:val="009B55E7"/>
    <w:rsid w:val="009B574E"/>
    <w:rsid w:val="009B77BC"/>
    <w:rsid w:val="009C10C1"/>
    <w:rsid w:val="009C1359"/>
    <w:rsid w:val="009C1BE9"/>
    <w:rsid w:val="009C327A"/>
    <w:rsid w:val="009C3945"/>
    <w:rsid w:val="009C5421"/>
    <w:rsid w:val="009C6570"/>
    <w:rsid w:val="009C6A36"/>
    <w:rsid w:val="009C6FA2"/>
    <w:rsid w:val="009D1DD7"/>
    <w:rsid w:val="009D23F6"/>
    <w:rsid w:val="009D3238"/>
    <w:rsid w:val="009D3B36"/>
    <w:rsid w:val="009E277B"/>
    <w:rsid w:val="009E278E"/>
    <w:rsid w:val="009E2F19"/>
    <w:rsid w:val="009E5E07"/>
    <w:rsid w:val="009E5E0B"/>
    <w:rsid w:val="009F10B7"/>
    <w:rsid w:val="009F1257"/>
    <w:rsid w:val="009F5C42"/>
    <w:rsid w:val="009F72E6"/>
    <w:rsid w:val="00A020F5"/>
    <w:rsid w:val="00A0663B"/>
    <w:rsid w:val="00A10785"/>
    <w:rsid w:val="00A109E6"/>
    <w:rsid w:val="00A1115B"/>
    <w:rsid w:val="00A116DD"/>
    <w:rsid w:val="00A12F87"/>
    <w:rsid w:val="00A15FBC"/>
    <w:rsid w:val="00A22C48"/>
    <w:rsid w:val="00A2355F"/>
    <w:rsid w:val="00A25F07"/>
    <w:rsid w:val="00A26500"/>
    <w:rsid w:val="00A32A34"/>
    <w:rsid w:val="00A32B3C"/>
    <w:rsid w:val="00A32BD1"/>
    <w:rsid w:val="00A36270"/>
    <w:rsid w:val="00A3694F"/>
    <w:rsid w:val="00A3794D"/>
    <w:rsid w:val="00A410F1"/>
    <w:rsid w:val="00A42128"/>
    <w:rsid w:val="00A43580"/>
    <w:rsid w:val="00A443F5"/>
    <w:rsid w:val="00A45820"/>
    <w:rsid w:val="00A50EAC"/>
    <w:rsid w:val="00A51F1C"/>
    <w:rsid w:val="00A554E5"/>
    <w:rsid w:val="00A55DD1"/>
    <w:rsid w:val="00A56CA8"/>
    <w:rsid w:val="00A577DB"/>
    <w:rsid w:val="00A57888"/>
    <w:rsid w:val="00A62C9D"/>
    <w:rsid w:val="00A64BDF"/>
    <w:rsid w:val="00A7017E"/>
    <w:rsid w:val="00A710DF"/>
    <w:rsid w:val="00A71BB4"/>
    <w:rsid w:val="00A71C20"/>
    <w:rsid w:val="00A7360F"/>
    <w:rsid w:val="00A7396A"/>
    <w:rsid w:val="00A75236"/>
    <w:rsid w:val="00A76236"/>
    <w:rsid w:val="00A76A06"/>
    <w:rsid w:val="00A80467"/>
    <w:rsid w:val="00A805F5"/>
    <w:rsid w:val="00A80E7A"/>
    <w:rsid w:val="00A81019"/>
    <w:rsid w:val="00A84322"/>
    <w:rsid w:val="00A84879"/>
    <w:rsid w:val="00A86876"/>
    <w:rsid w:val="00A876A5"/>
    <w:rsid w:val="00A90E2C"/>
    <w:rsid w:val="00A934B7"/>
    <w:rsid w:val="00A94817"/>
    <w:rsid w:val="00A94DB7"/>
    <w:rsid w:val="00A94EE7"/>
    <w:rsid w:val="00A960EE"/>
    <w:rsid w:val="00A975A3"/>
    <w:rsid w:val="00AA11A6"/>
    <w:rsid w:val="00AA3E6E"/>
    <w:rsid w:val="00AA62A0"/>
    <w:rsid w:val="00AB03D3"/>
    <w:rsid w:val="00AB0CC7"/>
    <w:rsid w:val="00AB1581"/>
    <w:rsid w:val="00AB1B9A"/>
    <w:rsid w:val="00AB1F9B"/>
    <w:rsid w:val="00AB5133"/>
    <w:rsid w:val="00AB5841"/>
    <w:rsid w:val="00AB766E"/>
    <w:rsid w:val="00AB7805"/>
    <w:rsid w:val="00AC08C7"/>
    <w:rsid w:val="00AC11C8"/>
    <w:rsid w:val="00AC3820"/>
    <w:rsid w:val="00AC3A1F"/>
    <w:rsid w:val="00AC430D"/>
    <w:rsid w:val="00AC55B9"/>
    <w:rsid w:val="00AC7C08"/>
    <w:rsid w:val="00AD0765"/>
    <w:rsid w:val="00AD4611"/>
    <w:rsid w:val="00AD5EE6"/>
    <w:rsid w:val="00AE484A"/>
    <w:rsid w:val="00AE676E"/>
    <w:rsid w:val="00AE78F8"/>
    <w:rsid w:val="00AF1B48"/>
    <w:rsid w:val="00AF244F"/>
    <w:rsid w:val="00AF2A2C"/>
    <w:rsid w:val="00AF4973"/>
    <w:rsid w:val="00AF4F0B"/>
    <w:rsid w:val="00AF72ED"/>
    <w:rsid w:val="00B05A6D"/>
    <w:rsid w:val="00B10EEF"/>
    <w:rsid w:val="00B12E22"/>
    <w:rsid w:val="00B161E4"/>
    <w:rsid w:val="00B162B0"/>
    <w:rsid w:val="00B1680D"/>
    <w:rsid w:val="00B205CD"/>
    <w:rsid w:val="00B26828"/>
    <w:rsid w:val="00B26F6F"/>
    <w:rsid w:val="00B27875"/>
    <w:rsid w:val="00B27941"/>
    <w:rsid w:val="00B304FF"/>
    <w:rsid w:val="00B3281F"/>
    <w:rsid w:val="00B32BD4"/>
    <w:rsid w:val="00B35CA6"/>
    <w:rsid w:val="00B373BD"/>
    <w:rsid w:val="00B40A0C"/>
    <w:rsid w:val="00B41695"/>
    <w:rsid w:val="00B42694"/>
    <w:rsid w:val="00B4310F"/>
    <w:rsid w:val="00B43D98"/>
    <w:rsid w:val="00B4498A"/>
    <w:rsid w:val="00B47266"/>
    <w:rsid w:val="00B51DFD"/>
    <w:rsid w:val="00B52100"/>
    <w:rsid w:val="00B534D5"/>
    <w:rsid w:val="00B53D5E"/>
    <w:rsid w:val="00B565A8"/>
    <w:rsid w:val="00B565AA"/>
    <w:rsid w:val="00B567D6"/>
    <w:rsid w:val="00B60976"/>
    <w:rsid w:val="00B61CA7"/>
    <w:rsid w:val="00B63605"/>
    <w:rsid w:val="00B636CE"/>
    <w:rsid w:val="00B63E18"/>
    <w:rsid w:val="00B63FA7"/>
    <w:rsid w:val="00B654EC"/>
    <w:rsid w:val="00B66669"/>
    <w:rsid w:val="00B674FE"/>
    <w:rsid w:val="00B67D3B"/>
    <w:rsid w:val="00B72CE1"/>
    <w:rsid w:val="00B72E7F"/>
    <w:rsid w:val="00B73840"/>
    <w:rsid w:val="00B73BFF"/>
    <w:rsid w:val="00B745FA"/>
    <w:rsid w:val="00B7572C"/>
    <w:rsid w:val="00B821D7"/>
    <w:rsid w:val="00B822F8"/>
    <w:rsid w:val="00B840EE"/>
    <w:rsid w:val="00B84909"/>
    <w:rsid w:val="00B8604F"/>
    <w:rsid w:val="00B860EA"/>
    <w:rsid w:val="00B879C0"/>
    <w:rsid w:val="00B92B8C"/>
    <w:rsid w:val="00B93E2A"/>
    <w:rsid w:val="00B94D8A"/>
    <w:rsid w:val="00B9574D"/>
    <w:rsid w:val="00B9729E"/>
    <w:rsid w:val="00BA0617"/>
    <w:rsid w:val="00BA3006"/>
    <w:rsid w:val="00BA554C"/>
    <w:rsid w:val="00BA6BCD"/>
    <w:rsid w:val="00BA7241"/>
    <w:rsid w:val="00BB0BD1"/>
    <w:rsid w:val="00BB0F29"/>
    <w:rsid w:val="00BB1C84"/>
    <w:rsid w:val="00BB7FEA"/>
    <w:rsid w:val="00BC2CF5"/>
    <w:rsid w:val="00BC4093"/>
    <w:rsid w:val="00BC4F91"/>
    <w:rsid w:val="00BC52E4"/>
    <w:rsid w:val="00BD3C2F"/>
    <w:rsid w:val="00BD52D6"/>
    <w:rsid w:val="00BD53BE"/>
    <w:rsid w:val="00BD5606"/>
    <w:rsid w:val="00BE0DE6"/>
    <w:rsid w:val="00BE69A8"/>
    <w:rsid w:val="00BE7B35"/>
    <w:rsid w:val="00BF2BF6"/>
    <w:rsid w:val="00BF3294"/>
    <w:rsid w:val="00BF5AFC"/>
    <w:rsid w:val="00BF5E9F"/>
    <w:rsid w:val="00BF7E6A"/>
    <w:rsid w:val="00C01397"/>
    <w:rsid w:val="00C01804"/>
    <w:rsid w:val="00C01DAD"/>
    <w:rsid w:val="00C0237F"/>
    <w:rsid w:val="00C02DD7"/>
    <w:rsid w:val="00C03500"/>
    <w:rsid w:val="00C03A17"/>
    <w:rsid w:val="00C04084"/>
    <w:rsid w:val="00C057C7"/>
    <w:rsid w:val="00C06AAF"/>
    <w:rsid w:val="00C1080B"/>
    <w:rsid w:val="00C10CAC"/>
    <w:rsid w:val="00C13140"/>
    <w:rsid w:val="00C131A9"/>
    <w:rsid w:val="00C14B73"/>
    <w:rsid w:val="00C14BD9"/>
    <w:rsid w:val="00C164F9"/>
    <w:rsid w:val="00C17023"/>
    <w:rsid w:val="00C173A5"/>
    <w:rsid w:val="00C17CF9"/>
    <w:rsid w:val="00C20344"/>
    <w:rsid w:val="00C21896"/>
    <w:rsid w:val="00C22284"/>
    <w:rsid w:val="00C227B7"/>
    <w:rsid w:val="00C228FD"/>
    <w:rsid w:val="00C26360"/>
    <w:rsid w:val="00C263C5"/>
    <w:rsid w:val="00C26551"/>
    <w:rsid w:val="00C26B37"/>
    <w:rsid w:val="00C32207"/>
    <w:rsid w:val="00C3259A"/>
    <w:rsid w:val="00C33AF5"/>
    <w:rsid w:val="00C344E6"/>
    <w:rsid w:val="00C3483C"/>
    <w:rsid w:val="00C35625"/>
    <w:rsid w:val="00C37BD4"/>
    <w:rsid w:val="00C41959"/>
    <w:rsid w:val="00C446E9"/>
    <w:rsid w:val="00C44AEC"/>
    <w:rsid w:val="00C45FC9"/>
    <w:rsid w:val="00C467C4"/>
    <w:rsid w:val="00C47760"/>
    <w:rsid w:val="00C5197E"/>
    <w:rsid w:val="00C51B0F"/>
    <w:rsid w:val="00C54E04"/>
    <w:rsid w:val="00C579C3"/>
    <w:rsid w:val="00C57B7A"/>
    <w:rsid w:val="00C61AC8"/>
    <w:rsid w:val="00C62782"/>
    <w:rsid w:val="00C67777"/>
    <w:rsid w:val="00C677B7"/>
    <w:rsid w:val="00C73AC1"/>
    <w:rsid w:val="00C73BF4"/>
    <w:rsid w:val="00C754DD"/>
    <w:rsid w:val="00C75CD0"/>
    <w:rsid w:val="00C76C36"/>
    <w:rsid w:val="00C80439"/>
    <w:rsid w:val="00C8057C"/>
    <w:rsid w:val="00C80EB9"/>
    <w:rsid w:val="00C82733"/>
    <w:rsid w:val="00C84140"/>
    <w:rsid w:val="00C86E75"/>
    <w:rsid w:val="00C93D56"/>
    <w:rsid w:val="00C976AD"/>
    <w:rsid w:val="00CA1718"/>
    <w:rsid w:val="00CA2167"/>
    <w:rsid w:val="00CA38FF"/>
    <w:rsid w:val="00CA53CB"/>
    <w:rsid w:val="00CA672A"/>
    <w:rsid w:val="00CA6A83"/>
    <w:rsid w:val="00CB00D0"/>
    <w:rsid w:val="00CB07C9"/>
    <w:rsid w:val="00CB16FC"/>
    <w:rsid w:val="00CB207A"/>
    <w:rsid w:val="00CB294E"/>
    <w:rsid w:val="00CB2993"/>
    <w:rsid w:val="00CB321E"/>
    <w:rsid w:val="00CB4284"/>
    <w:rsid w:val="00CB43C1"/>
    <w:rsid w:val="00CB4598"/>
    <w:rsid w:val="00CB47AF"/>
    <w:rsid w:val="00CB5ADD"/>
    <w:rsid w:val="00CB615C"/>
    <w:rsid w:val="00CB6EAE"/>
    <w:rsid w:val="00CB7ADC"/>
    <w:rsid w:val="00CC04EC"/>
    <w:rsid w:val="00CC0C36"/>
    <w:rsid w:val="00CC165B"/>
    <w:rsid w:val="00CC23F5"/>
    <w:rsid w:val="00CC285C"/>
    <w:rsid w:val="00CC570E"/>
    <w:rsid w:val="00CC632B"/>
    <w:rsid w:val="00CD2606"/>
    <w:rsid w:val="00CD3674"/>
    <w:rsid w:val="00CD46ED"/>
    <w:rsid w:val="00CD4CF2"/>
    <w:rsid w:val="00CD7A21"/>
    <w:rsid w:val="00CE0A99"/>
    <w:rsid w:val="00CE1DD2"/>
    <w:rsid w:val="00CE36B9"/>
    <w:rsid w:val="00CE446B"/>
    <w:rsid w:val="00CE58BA"/>
    <w:rsid w:val="00CE6FD6"/>
    <w:rsid w:val="00CE7A92"/>
    <w:rsid w:val="00CF05E5"/>
    <w:rsid w:val="00CF2886"/>
    <w:rsid w:val="00CF3039"/>
    <w:rsid w:val="00CF41E4"/>
    <w:rsid w:val="00CF5ABB"/>
    <w:rsid w:val="00CF60C4"/>
    <w:rsid w:val="00CF6F18"/>
    <w:rsid w:val="00CF763E"/>
    <w:rsid w:val="00D00403"/>
    <w:rsid w:val="00D00898"/>
    <w:rsid w:val="00D00EC1"/>
    <w:rsid w:val="00D012D6"/>
    <w:rsid w:val="00D016E8"/>
    <w:rsid w:val="00D01B5A"/>
    <w:rsid w:val="00D02F3E"/>
    <w:rsid w:val="00D031CE"/>
    <w:rsid w:val="00D046A5"/>
    <w:rsid w:val="00D0649A"/>
    <w:rsid w:val="00D06864"/>
    <w:rsid w:val="00D11053"/>
    <w:rsid w:val="00D11A84"/>
    <w:rsid w:val="00D14F72"/>
    <w:rsid w:val="00D166AD"/>
    <w:rsid w:val="00D2253A"/>
    <w:rsid w:val="00D32A63"/>
    <w:rsid w:val="00D342F3"/>
    <w:rsid w:val="00D3492E"/>
    <w:rsid w:val="00D34BCE"/>
    <w:rsid w:val="00D35AC9"/>
    <w:rsid w:val="00D35DEB"/>
    <w:rsid w:val="00D36DCC"/>
    <w:rsid w:val="00D37271"/>
    <w:rsid w:val="00D41F4D"/>
    <w:rsid w:val="00D42297"/>
    <w:rsid w:val="00D42CD1"/>
    <w:rsid w:val="00D434B3"/>
    <w:rsid w:val="00D43844"/>
    <w:rsid w:val="00D472E3"/>
    <w:rsid w:val="00D50149"/>
    <w:rsid w:val="00D5529F"/>
    <w:rsid w:val="00D6065A"/>
    <w:rsid w:val="00D60D1B"/>
    <w:rsid w:val="00D611D5"/>
    <w:rsid w:val="00D61EF3"/>
    <w:rsid w:val="00D63980"/>
    <w:rsid w:val="00D71800"/>
    <w:rsid w:val="00D71AAF"/>
    <w:rsid w:val="00D71FB0"/>
    <w:rsid w:val="00D72E0D"/>
    <w:rsid w:val="00D72FE3"/>
    <w:rsid w:val="00D74011"/>
    <w:rsid w:val="00D7454F"/>
    <w:rsid w:val="00D75FBC"/>
    <w:rsid w:val="00D840EE"/>
    <w:rsid w:val="00D9084A"/>
    <w:rsid w:val="00D914C9"/>
    <w:rsid w:val="00D91ED2"/>
    <w:rsid w:val="00D93BEE"/>
    <w:rsid w:val="00D96300"/>
    <w:rsid w:val="00D966DC"/>
    <w:rsid w:val="00D97C51"/>
    <w:rsid w:val="00DA270F"/>
    <w:rsid w:val="00DA296A"/>
    <w:rsid w:val="00DA2D67"/>
    <w:rsid w:val="00DA392B"/>
    <w:rsid w:val="00DA5DDE"/>
    <w:rsid w:val="00DB082A"/>
    <w:rsid w:val="00DB1651"/>
    <w:rsid w:val="00DB1E4E"/>
    <w:rsid w:val="00DB370F"/>
    <w:rsid w:val="00DB44F9"/>
    <w:rsid w:val="00DB51D8"/>
    <w:rsid w:val="00DB6B33"/>
    <w:rsid w:val="00DB75A8"/>
    <w:rsid w:val="00DC0577"/>
    <w:rsid w:val="00DC18A1"/>
    <w:rsid w:val="00DC313C"/>
    <w:rsid w:val="00DC4444"/>
    <w:rsid w:val="00DC4A1C"/>
    <w:rsid w:val="00DC5056"/>
    <w:rsid w:val="00DC5214"/>
    <w:rsid w:val="00DC632E"/>
    <w:rsid w:val="00DD0F37"/>
    <w:rsid w:val="00DD2114"/>
    <w:rsid w:val="00DD24BE"/>
    <w:rsid w:val="00DD4784"/>
    <w:rsid w:val="00DD5D64"/>
    <w:rsid w:val="00DD6258"/>
    <w:rsid w:val="00DD77C0"/>
    <w:rsid w:val="00DE213E"/>
    <w:rsid w:val="00DE4CF8"/>
    <w:rsid w:val="00DF09EF"/>
    <w:rsid w:val="00DF1FAA"/>
    <w:rsid w:val="00DF24AD"/>
    <w:rsid w:val="00DF2F82"/>
    <w:rsid w:val="00DF5027"/>
    <w:rsid w:val="00DF50F9"/>
    <w:rsid w:val="00DF76AE"/>
    <w:rsid w:val="00E01D9B"/>
    <w:rsid w:val="00E02520"/>
    <w:rsid w:val="00E04066"/>
    <w:rsid w:val="00E06098"/>
    <w:rsid w:val="00E07B07"/>
    <w:rsid w:val="00E10B55"/>
    <w:rsid w:val="00E13111"/>
    <w:rsid w:val="00E140A3"/>
    <w:rsid w:val="00E1432B"/>
    <w:rsid w:val="00E148A0"/>
    <w:rsid w:val="00E2029C"/>
    <w:rsid w:val="00E20B1C"/>
    <w:rsid w:val="00E2131E"/>
    <w:rsid w:val="00E2173C"/>
    <w:rsid w:val="00E317FE"/>
    <w:rsid w:val="00E323E1"/>
    <w:rsid w:val="00E32FB2"/>
    <w:rsid w:val="00E33EF0"/>
    <w:rsid w:val="00E34993"/>
    <w:rsid w:val="00E36B16"/>
    <w:rsid w:val="00E373D7"/>
    <w:rsid w:val="00E42B63"/>
    <w:rsid w:val="00E43815"/>
    <w:rsid w:val="00E50EC3"/>
    <w:rsid w:val="00E51B11"/>
    <w:rsid w:val="00E526D5"/>
    <w:rsid w:val="00E57FA7"/>
    <w:rsid w:val="00E60916"/>
    <w:rsid w:val="00E618CC"/>
    <w:rsid w:val="00E6275A"/>
    <w:rsid w:val="00E63FC1"/>
    <w:rsid w:val="00E65A81"/>
    <w:rsid w:val="00E65AD0"/>
    <w:rsid w:val="00E65C82"/>
    <w:rsid w:val="00E660EF"/>
    <w:rsid w:val="00E70CB8"/>
    <w:rsid w:val="00E70FE5"/>
    <w:rsid w:val="00E727F5"/>
    <w:rsid w:val="00E77373"/>
    <w:rsid w:val="00E77895"/>
    <w:rsid w:val="00E80014"/>
    <w:rsid w:val="00E806AD"/>
    <w:rsid w:val="00E815C4"/>
    <w:rsid w:val="00E82B91"/>
    <w:rsid w:val="00E82FAD"/>
    <w:rsid w:val="00E86D0C"/>
    <w:rsid w:val="00E86DED"/>
    <w:rsid w:val="00E9709A"/>
    <w:rsid w:val="00EA07FC"/>
    <w:rsid w:val="00EA08DB"/>
    <w:rsid w:val="00EA0C4E"/>
    <w:rsid w:val="00EA216B"/>
    <w:rsid w:val="00EA23DF"/>
    <w:rsid w:val="00EA27BB"/>
    <w:rsid w:val="00EA3DA5"/>
    <w:rsid w:val="00EA5F01"/>
    <w:rsid w:val="00EA63BE"/>
    <w:rsid w:val="00EA76A5"/>
    <w:rsid w:val="00EA7D34"/>
    <w:rsid w:val="00EB110E"/>
    <w:rsid w:val="00EB3081"/>
    <w:rsid w:val="00EB37ED"/>
    <w:rsid w:val="00EB468A"/>
    <w:rsid w:val="00EB640D"/>
    <w:rsid w:val="00EB713E"/>
    <w:rsid w:val="00EB72A2"/>
    <w:rsid w:val="00EC0D00"/>
    <w:rsid w:val="00EC136E"/>
    <w:rsid w:val="00EC339D"/>
    <w:rsid w:val="00EC5393"/>
    <w:rsid w:val="00EC56E1"/>
    <w:rsid w:val="00EC5ECB"/>
    <w:rsid w:val="00EC6B82"/>
    <w:rsid w:val="00EC7859"/>
    <w:rsid w:val="00ED02EB"/>
    <w:rsid w:val="00ED1D27"/>
    <w:rsid w:val="00ED348C"/>
    <w:rsid w:val="00ED7537"/>
    <w:rsid w:val="00ED7D53"/>
    <w:rsid w:val="00EE0C1D"/>
    <w:rsid w:val="00EE1C42"/>
    <w:rsid w:val="00EE2700"/>
    <w:rsid w:val="00EE2797"/>
    <w:rsid w:val="00EE3A50"/>
    <w:rsid w:val="00EE4FCB"/>
    <w:rsid w:val="00EE6179"/>
    <w:rsid w:val="00EE74D5"/>
    <w:rsid w:val="00EF2E52"/>
    <w:rsid w:val="00EF5884"/>
    <w:rsid w:val="00F0079F"/>
    <w:rsid w:val="00F0095B"/>
    <w:rsid w:val="00F00AA3"/>
    <w:rsid w:val="00F00B31"/>
    <w:rsid w:val="00F00E66"/>
    <w:rsid w:val="00F01B35"/>
    <w:rsid w:val="00F02282"/>
    <w:rsid w:val="00F04B89"/>
    <w:rsid w:val="00F0608C"/>
    <w:rsid w:val="00F06A4F"/>
    <w:rsid w:val="00F10578"/>
    <w:rsid w:val="00F1258E"/>
    <w:rsid w:val="00F154F8"/>
    <w:rsid w:val="00F15EBD"/>
    <w:rsid w:val="00F1670C"/>
    <w:rsid w:val="00F21E32"/>
    <w:rsid w:val="00F227F1"/>
    <w:rsid w:val="00F24E81"/>
    <w:rsid w:val="00F26B83"/>
    <w:rsid w:val="00F26C22"/>
    <w:rsid w:val="00F278CE"/>
    <w:rsid w:val="00F278D9"/>
    <w:rsid w:val="00F27AA6"/>
    <w:rsid w:val="00F27E0F"/>
    <w:rsid w:val="00F32A9D"/>
    <w:rsid w:val="00F33BBD"/>
    <w:rsid w:val="00F34731"/>
    <w:rsid w:val="00F36EE5"/>
    <w:rsid w:val="00F37D8C"/>
    <w:rsid w:val="00F37E01"/>
    <w:rsid w:val="00F406B2"/>
    <w:rsid w:val="00F40979"/>
    <w:rsid w:val="00F45E83"/>
    <w:rsid w:val="00F47092"/>
    <w:rsid w:val="00F472EE"/>
    <w:rsid w:val="00F4768C"/>
    <w:rsid w:val="00F535BD"/>
    <w:rsid w:val="00F53A22"/>
    <w:rsid w:val="00F54856"/>
    <w:rsid w:val="00F55EAB"/>
    <w:rsid w:val="00F574FB"/>
    <w:rsid w:val="00F602FC"/>
    <w:rsid w:val="00F6060E"/>
    <w:rsid w:val="00F61226"/>
    <w:rsid w:val="00F61618"/>
    <w:rsid w:val="00F61EA4"/>
    <w:rsid w:val="00F62871"/>
    <w:rsid w:val="00F62CD4"/>
    <w:rsid w:val="00F66883"/>
    <w:rsid w:val="00F729ED"/>
    <w:rsid w:val="00F73BC5"/>
    <w:rsid w:val="00F75D3A"/>
    <w:rsid w:val="00F77492"/>
    <w:rsid w:val="00F7794C"/>
    <w:rsid w:val="00F8044E"/>
    <w:rsid w:val="00F80D64"/>
    <w:rsid w:val="00F81BCF"/>
    <w:rsid w:val="00F82145"/>
    <w:rsid w:val="00F821CE"/>
    <w:rsid w:val="00F835D1"/>
    <w:rsid w:val="00F84126"/>
    <w:rsid w:val="00F85230"/>
    <w:rsid w:val="00F8583A"/>
    <w:rsid w:val="00F90138"/>
    <w:rsid w:val="00F93097"/>
    <w:rsid w:val="00F97871"/>
    <w:rsid w:val="00FA0A10"/>
    <w:rsid w:val="00FA2F2B"/>
    <w:rsid w:val="00FA3C49"/>
    <w:rsid w:val="00FB02B0"/>
    <w:rsid w:val="00FB27D6"/>
    <w:rsid w:val="00FB60CF"/>
    <w:rsid w:val="00FC0D3E"/>
    <w:rsid w:val="00FC28A6"/>
    <w:rsid w:val="00FC2A0C"/>
    <w:rsid w:val="00FD3257"/>
    <w:rsid w:val="00FD55C0"/>
    <w:rsid w:val="00FD6092"/>
    <w:rsid w:val="00FE1933"/>
    <w:rsid w:val="00FE36AF"/>
    <w:rsid w:val="00FF0AC6"/>
    <w:rsid w:val="00FF25F2"/>
    <w:rsid w:val="00FF6A88"/>
    <w:rsid w:val="00FF77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20B1C"/>
    <w:pPr>
      <w:suppressAutoHyphens/>
      <w:spacing w:after="200" w:line="276" w:lineRule="auto"/>
    </w:pPr>
    <w:rPr>
      <w:rFonts w:eastAsia="Calibri" w:cs="Calibri"/>
      <w:kern w:val="1"/>
      <w:sz w:val="22"/>
      <w:szCs w:val="24"/>
      <w:lang w:eastAsia="ar-SA"/>
    </w:rPr>
  </w:style>
  <w:style w:type="paragraph" w:styleId="Ttulo1">
    <w:name w:val="heading 1"/>
    <w:basedOn w:val="Normal"/>
    <w:next w:val="Normal"/>
    <w:link w:val="Ttulo1Char"/>
    <w:uiPriority w:val="9"/>
    <w:qFormat/>
    <w:rsid w:val="00115D32"/>
    <w:pPr>
      <w:keepNext/>
      <w:spacing w:before="240" w:after="60"/>
      <w:outlineLvl w:val="0"/>
    </w:pPr>
    <w:rPr>
      <w:rFonts w:ascii="Calibri Light" w:eastAsia="Times New Roman" w:hAnsi="Calibri Light" w:cs="Times New Roman"/>
      <w:b/>
      <w:bCs/>
      <w:kern w:val="32"/>
      <w:sz w:val="32"/>
      <w:szCs w:val="32"/>
    </w:rPr>
  </w:style>
  <w:style w:type="paragraph" w:styleId="Ttulo2">
    <w:name w:val="heading 2"/>
    <w:basedOn w:val="Normal"/>
    <w:next w:val="Corpodetexto"/>
    <w:qFormat/>
    <w:rsid w:val="00E20B1C"/>
    <w:pPr>
      <w:numPr>
        <w:ilvl w:val="1"/>
        <w:numId w:val="1"/>
      </w:numPr>
      <w:spacing w:before="28" w:after="28" w:line="100" w:lineRule="atLeast"/>
      <w:outlineLvl w:val="1"/>
    </w:pPr>
    <w:rPr>
      <w:rFonts w:eastAsia="Times New Roman"/>
      <w:b/>
      <w:bCs/>
      <w:sz w:val="36"/>
      <w:szCs w:val="36"/>
    </w:rPr>
  </w:style>
  <w:style w:type="paragraph" w:styleId="Ttulo3">
    <w:name w:val="heading 3"/>
    <w:basedOn w:val="Normal"/>
    <w:next w:val="Normal"/>
    <w:link w:val="Ttulo3Char"/>
    <w:uiPriority w:val="9"/>
    <w:qFormat/>
    <w:rsid w:val="00993388"/>
    <w:pPr>
      <w:keepNext/>
      <w:keepLines/>
      <w:spacing w:before="40" w:after="0" w:line="254" w:lineRule="auto"/>
      <w:outlineLvl w:val="2"/>
    </w:pPr>
    <w:rPr>
      <w:rFonts w:ascii="Calibri Light" w:eastAsia="Times New Roman" w:hAnsi="Calibri Light" w:cs="Times New Roman"/>
      <w:color w:val="1F4D78"/>
      <w:sz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rsid w:val="00E20B1C"/>
    <w:rPr>
      <w:rFonts w:cs="Courier New"/>
    </w:rPr>
  </w:style>
  <w:style w:type="character" w:customStyle="1" w:styleId="Fontepargpadro1">
    <w:name w:val="Fonte parág. padrão1"/>
    <w:rsid w:val="00E20B1C"/>
  </w:style>
  <w:style w:type="character" w:customStyle="1" w:styleId="CabealhoChar">
    <w:name w:val="Cabeçalho Char"/>
    <w:basedOn w:val="Fontepargpadro1"/>
    <w:uiPriority w:val="99"/>
    <w:rsid w:val="00E20B1C"/>
  </w:style>
  <w:style w:type="character" w:customStyle="1" w:styleId="RodapChar">
    <w:name w:val="Rodapé Char"/>
    <w:basedOn w:val="Fontepargpadro1"/>
    <w:uiPriority w:val="99"/>
    <w:rsid w:val="00E20B1C"/>
  </w:style>
  <w:style w:type="character" w:customStyle="1" w:styleId="TextodebaloChar">
    <w:name w:val="Texto de balão Char"/>
    <w:basedOn w:val="Fontepargpadro1"/>
    <w:rsid w:val="00E20B1C"/>
  </w:style>
  <w:style w:type="character" w:customStyle="1" w:styleId="Refdecomentrio1">
    <w:name w:val="Ref. de comentário1"/>
    <w:basedOn w:val="Fontepargpadro1"/>
    <w:rsid w:val="00E20B1C"/>
  </w:style>
  <w:style w:type="character" w:customStyle="1" w:styleId="TextodecomentrioChar">
    <w:name w:val="Texto de comentário Char"/>
    <w:basedOn w:val="Fontepargpadro1"/>
    <w:uiPriority w:val="99"/>
    <w:rsid w:val="00E20B1C"/>
  </w:style>
  <w:style w:type="character" w:customStyle="1" w:styleId="AssuntodocomentrioChar">
    <w:name w:val="Assunto do comentário Char"/>
    <w:basedOn w:val="TextodecomentrioChar"/>
    <w:rsid w:val="00E20B1C"/>
  </w:style>
  <w:style w:type="character" w:customStyle="1" w:styleId="Ttulo2Char">
    <w:name w:val="Título 2 Char"/>
    <w:basedOn w:val="Fontepargpadro1"/>
    <w:rsid w:val="00E20B1C"/>
  </w:style>
  <w:style w:type="character" w:styleId="Hyperlink">
    <w:name w:val="Hyperlink"/>
    <w:uiPriority w:val="99"/>
    <w:rsid w:val="00E20B1C"/>
    <w:rPr>
      <w:color w:val="0000FF"/>
      <w:u w:val="single"/>
    </w:rPr>
  </w:style>
  <w:style w:type="character" w:customStyle="1" w:styleId="hps">
    <w:name w:val="hps"/>
    <w:basedOn w:val="Fontepargpadro1"/>
    <w:rsid w:val="00E20B1C"/>
  </w:style>
  <w:style w:type="character" w:customStyle="1" w:styleId="fn">
    <w:name w:val="fn"/>
    <w:basedOn w:val="Fontepargpadro1"/>
    <w:rsid w:val="00E20B1C"/>
  </w:style>
  <w:style w:type="character" w:customStyle="1" w:styleId="TextodoEspaoReservado1">
    <w:name w:val="Texto do Espaço Reservado1"/>
    <w:basedOn w:val="Fontepargpadro1"/>
    <w:rsid w:val="00E20B1C"/>
  </w:style>
  <w:style w:type="paragraph" w:customStyle="1" w:styleId="Ttulo10">
    <w:name w:val="Título1"/>
    <w:basedOn w:val="Normal"/>
    <w:next w:val="Corpodetexto"/>
    <w:rsid w:val="00E20B1C"/>
    <w:pPr>
      <w:keepNext/>
      <w:spacing w:before="240" w:after="120"/>
    </w:pPr>
    <w:rPr>
      <w:rFonts w:ascii="Arial" w:eastAsia="SimSun" w:hAnsi="Arial" w:cs="Mangal"/>
      <w:sz w:val="28"/>
      <w:szCs w:val="28"/>
    </w:rPr>
  </w:style>
  <w:style w:type="paragraph" w:styleId="Corpodetexto">
    <w:name w:val="Body Text"/>
    <w:basedOn w:val="Normal"/>
    <w:rsid w:val="00E20B1C"/>
    <w:pPr>
      <w:spacing w:after="120"/>
    </w:pPr>
  </w:style>
  <w:style w:type="paragraph" w:styleId="Lista">
    <w:name w:val="List"/>
    <w:basedOn w:val="Corpodetexto"/>
    <w:rsid w:val="00E20B1C"/>
    <w:rPr>
      <w:rFonts w:cs="Mangal"/>
    </w:rPr>
  </w:style>
  <w:style w:type="paragraph" w:customStyle="1" w:styleId="Legenda1">
    <w:name w:val="Legenda1"/>
    <w:basedOn w:val="Normal"/>
    <w:rsid w:val="00E20B1C"/>
    <w:pPr>
      <w:suppressLineNumbers/>
      <w:spacing w:before="120" w:after="120"/>
    </w:pPr>
    <w:rPr>
      <w:rFonts w:cs="Mangal"/>
      <w:i/>
      <w:iCs/>
      <w:sz w:val="24"/>
    </w:rPr>
  </w:style>
  <w:style w:type="paragraph" w:customStyle="1" w:styleId="ndice">
    <w:name w:val="Índice"/>
    <w:basedOn w:val="Normal"/>
    <w:rsid w:val="00E20B1C"/>
    <w:pPr>
      <w:suppressLineNumbers/>
    </w:pPr>
    <w:rPr>
      <w:rFonts w:cs="Mangal"/>
    </w:rPr>
  </w:style>
  <w:style w:type="paragraph" w:styleId="Cabealho">
    <w:name w:val="header"/>
    <w:basedOn w:val="Normal"/>
    <w:uiPriority w:val="99"/>
    <w:rsid w:val="00E20B1C"/>
    <w:pPr>
      <w:suppressLineNumbers/>
      <w:tabs>
        <w:tab w:val="center" w:pos="4252"/>
        <w:tab w:val="right" w:pos="8504"/>
      </w:tabs>
      <w:spacing w:after="0" w:line="100" w:lineRule="atLeast"/>
    </w:pPr>
  </w:style>
  <w:style w:type="paragraph" w:styleId="Rodap">
    <w:name w:val="footer"/>
    <w:basedOn w:val="Normal"/>
    <w:uiPriority w:val="99"/>
    <w:rsid w:val="00E20B1C"/>
    <w:pPr>
      <w:suppressLineNumbers/>
      <w:tabs>
        <w:tab w:val="center" w:pos="4252"/>
        <w:tab w:val="right" w:pos="8504"/>
      </w:tabs>
      <w:spacing w:after="0" w:line="100" w:lineRule="atLeast"/>
    </w:pPr>
  </w:style>
  <w:style w:type="paragraph" w:customStyle="1" w:styleId="Textodebalo1">
    <w:name w:val="Texto de balão1"/>
    <w:basedOn w:val="Normal"/>
    <w:rsid w:val="00E20B1C"/>
  </w:style>
  <w:style w:type="paragraph" w:customStyle="1" w:styleId="Textodecomentrio1">
    <w:name w:val="Texto de comentário1"/>
    <w:basedOn w:val="Normal"/>
    <w:rsid w:val="00E20B1C"/>
  </w:style>
  <w:style w:type="paragraph" w:customStyle="1" w:styleId="Assuntodocomentrio1">
    <w:name w:val="Assunto do comentário1"/>
    <w:basedOn w:val="Textodecomentrio1"/>
    <w:rsid w:val="00E20B1C"/>
  </w:style>
  <w:style w:type="paragraph" w:customStyle="1" w:styleId="Default">
    <w:name w:val="Default"/>
    <w:rsid w:val="00E20B1C"/>
    <w:pPr>
      <w:widowControl w:val="0"/>
      <w:suppressAutoHyphens/>
      <w:spacing w:after="200" w:line="276" w:lineRule="auto"/>
    </w:pPr>
    <w:rPr>
      <w:rFonts w:eastAsia="SimSun" w:cs="Calibri"/>
      <w:kern w:val="1"/>
      <w:sz w:val="24"/>
      <w:szCs w:val="24"/>
      <w:lang w:eastAsia="ar-SA"/>
    </w:rPr>
  </w:style>
  <w:style w:type="paragraph" w:styleId="NormalWeb">
    <w:name w:val="Normal (Web)"/>
    <w:basedOn w:val="Normal"/>
    <w:uiPriority w:val="99"/>
    <w:rsid w:val="00E20B1C"/>
  </w:style>
  <w:style w:type="paragraph" w:customStyle="1" w:styleId="PargrafodaLista1">
    <w:name w:val="Parágrafo da Lista1"/>
    <w:basedOn w:val="Normal"/>
    <w:rsid w:val="00E20B1C"/>
  </w:style>
  <w:style w:type="paragraph" w:styleId="PargrafodaLista">
    <w:name w:val="List Paragraph"/>
    <w:basedOn w:val="Normal"/>
    <w:uiPriority w:val="34"/>
    <w:qFormat/>
    <w:rsid w:val="00AB0CC7"/>
    <w:pPr>
      <w:suppressAutoHyphens w:val="0"/>
      <w:ind w:left="720"/>
      <w:contextualSpacing/>
    </w:pPr>
    <w:rPr>
      <w:rFonts w:cs="Times New Roman"/>
      <w:kern w:val="0"/>
      <w:sz w:val="24"/>
      <w:lang w:eastAsia="en-US"/>
    </w:rPr>
  </w:style>
  <w:style w:type="character" w:customStyle="1" w:styleId="Ttulo1Char">
    <w:name w:val="Título 1 Char"/>
    <w:link w:val="Ttulo1"/>
    <w:uiPriority w:val="9"/>
    <w:rsid w:val="00115D32"/>
    <w:rPr>
      <w:rFonts w:ascii="Calibri Light" w:eastAsia="Times New Roman" w:hAnsi="Calibri Light" w:cs="Times New Roman"/>
      <w:b/>
      <w:bCs/>
      <w:kern w:val="32"/>
      <w:sz w:val="32"/>
      <w:szCs w:val="32"/>
      <w:lang w:eastAsia="ar-SA"/>
    </w:rPr>
  </w:style>
  <w:style w:type="paragraph" w:styleId="Subttulo">
    <w:name w:val="Subtitle"/>
    <w:basedOn w:val="Normal"/>
    <w:next w:val="Normal"/>
    <w:link w:val="SubttuloChar"/>
    <w:qFormat/>
    <w:rsid w:val="00115D32"/>
    <w:pPr>
      <w:spacing w:after="60"/>
      <w:jc w:val="center"/>
      <w:outlineLvl w:val="1"/>
    </w:pPr>
    <w:rPr>
      <w:rFonts w:ascii="Calibri Light" w:eastAsia="Times New Roman" w:hAnsi="Calibri Light" w:cs="Times New Roman"/>
      <w:sz w:val="24"/>
    </w:rPr>
  </w:style>
  <w:style w:type="character" w:customStyle="1" w:styleId="SubttuloChar">
    <w:name w:val="Subtítulo Char"/>
    <w:link w:val="Subttulo"/>
    <w:rsid w:val="00115D32"/>
    <w:rPr>
      <w:rFonts w:ascii="Calibri Light" w:eastAsia="Times New Roman" w:hAnsi="Calibri Light" w:cs="Times New Roman"/>
      <w:kern w:val="1"/>
      <w:sz w:val="24"/>
      <w:szCs w:val="24"/>
      <w:lang w:eastAsia="ar-SA"/>
    </w:rPr>
  </w:style>
  <w:style w:type="character" w:styleId="nfaseSutil">
    <w:name w:val="Subtle Emphasis"/>
    <w:uiPriority w:val="19"/>
    <w:qFormat/>
    <w:rsid w:val="00115D32"/>
    <w:rPr>
      <w:i/>
      <w:iCs/>
      <w:color w:val="404040"/>
    </w:rPr>
  </w:style>
  <w:style w:type="paragraph" w:styleId="CabealhodoSumrio">
    <w:name w:val="TOC Heading"/>
    <w:basedOn w:val="Ttulo1"/>
    <w:next w:val="Normal"/>
    <w:uiPriority w:val="39"/>
    <w:qFormat/>
    <w:rsid w:val="00115D32"/>
    <w:pPr>
      <w:keepLines/>
      <w:suppressAutoHyphens w:val="0"/>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115D32"/>
  </w:style>
  <w:style w:type="paragraph" w:styleId="Sumrio2">
    <w:name w:val="toc 2"/>
    <w:basedOn w:val="Normal"/>
    <w:next w:val="Normal"/>
    <w:autoRedefine/>
    <w:uiPriority w:val="39"/>
    <w:unhideWhenUsed/>
    <w:rsid w:val="00B9729E"/>
    <w:pPr>
      <w:tabs>
        <w:tab w:val="right" w:leader="dot" w:pos="9061"/>
      </w:tabs>
      <w:ind w:left="220"/>
    </w:pPr>
    <w:rPr>
      <w:bCs/>
      <w:iCs/>
      <w:noProof/>
      <w:sz w:val="24"/>
    </w:rPr>
  </w:style>
  <w:style w:type="paragraph" w:styleId="Ttulo">
    <w:name w:val="Title"/>
    <w:basedOn w:val="Normal"/>
    <w:next w:val="Normal"/>
    <w:link w:val="TtuloChar"/>
    <w:uiPriority w:val="10"/>
    <w:qFormat/>
    <w:rsid w:val="00384937"/>
    <w:pPr>
      <w:spacing w:before="240" w:after="60"/>
      <w:jc w:val="center"/>
      <w:outlineLvl w:val="0"/>
    </w:pPr>
    <w:rPr>
      <w:rFonts w:ascii="Calibri Light" w:eastAsia="Times New Roman" w:hAnsi="Calibri Light" w:cs="Times New Roman"/>
      <w:b/>
      <w:bCs/>
      <w:kern w:val="28"/>
      <w:sz w:val="32"/>
      <w:szCs w:val="32"/>
    </w:rPr>
  </w:style>
  <w:style w:type="character" w:customStyle="1" w:styleId="TtuloChar">
    <w:name w:val="Título Char"/>
    <w:link w:val="Ttulo"/>
    <w:uiPriority w:val="10"/>
    <w:rsid w:val="00384937"/>
    <w:rPr>
      <w:rFonts w:ascii="Calibri Light" w:eastAsia="Times New Roman" w:hAnsi="Calibri Light" w:cs="Times New Roman"/>
      <w:b/>
      <w:bCs/>
      <w:kern w:val="28"/>
      <w:sz w:val="32"/>
      <w:szCs w:val="32"/>
      <w:lang w:eastAsia="ar-SA"/>
    </w:rPr>
  </w:style>
  <w:style w:type="paragraph" w:styleId="Legenda">
    <w:name w:val="caption"/>
    <w:basedOn w:val="Normal"/>
    <w:next w:val="Normal"/>
    <w:qFormat/>
    <w:rsid w:val="009056D7"/>
    <w:pPr>
      <w:suppressAutoHyphens w:val="0"/>
      <w:spacing w:line="240" w:lineRule="auto"/>
    </w:pPr>
    <w:rPr>
      <w:rFonts w:ascii="Calibri" w:hAnsi="Calibri" w:cs="Times New Roman"/>
      <w:b/>
      <w:bCs/>
      <w:color w:val="4F81BD"/>
      <w:kern w:val="0"/>
      <w:sz w:val="18"/>
      <w:szCs w:val="18"/>
      <w:lang w:eastAsia="en-US"/>
    </w:rPr>
  </w:style>
  <w:style w:type="character" w:styleId="Refdecomentrio">
    <w:name w:val="annotation reference"/>
    <w:uiPriority w:val="99"/>
    <w:semiHidden/>
    <w:unhideWhenUsed/>
    <w:rsid w:val="007C13B0"/>
    <w:rPr>
      <w:sz w:val="16"/>
      <w:szCs w:val="16"/>
    </w:rPr>
  </w:style>
  <w:style w:type="paragraph" w:styleId="Textodecomentrio">
    <w:name w:val="annotation text"/>
    <w:basedOn w:val="Normal"/>
    <w:link w:val="TextodecomentrioChar1"/>
    <w:uiPriority w:val="99"/>
    <w:semiHidden/>
    <w:unhideWhenUsed/>
    <w:rsid w:val="007C13B0"/>
    <w:rPr>
      <w:sz w:val="20"/>
      <w:szCs w:val="20"/>
    </w:rPr>
  </w:style>
  <w:style w:type="character" w:customStyle="1" w:styleId="TextodecomentrioChar1">
    <w:name w:val="Texto de comentário Char1"/>
    <w:link w:val="Textodecomentrio"/>
    <w:uiPriority w:val="99"/>
    <w:rsid w:val="007C13B0"/>
    <w:rPr>
      <w:rFonts w:eastAsia="Calibri" w:cs="Calibri"/>
      <w:kern w:val="1"/>
      <w:lang w:eastAsia="ar-SA"/>
    </w:rPr>
  </w:style>
  <w:style w:type="paragraph" w:styleId="Assuntodocomentrio">
    <w:name w:val="annotation subject"/>
    <w:basedOn w:val="Textodecomentrio"/>
    <w:next w:val="Textodecomentrio"/>
    <w:link w:val="AssuntodocomentrioChar1"/>
    <w:uiPriority w:val="99"/>
    <w:semiHidden/>
    <w:unhideWhenUsed/>
    <w:rsid w:val="007C13B0"/>
    <w:rPr>
      <w:b/>
      <w:bCs/>
    </w:rPr>
  </w:style>
  <w:style w:type="character" w:customStyle="1" w:styleId="AssuntodocomentrioChar1">
    <w:name w:val="Assunto do comentário Char1"/>
    <w:link w:val="Assuntodocomentrio"/>
    <w:uiPriority w:val="99"/>
    <w:rsid w:val="007C13B0"/>
    <w:rPr>
      <w:rFonts w:eastAsia="Calibri" w:cs="Calibri"/>
      <w:b/>
      <w:bCs/>
      <w:kern w:val="1"/>
      <w:lang w:eastAsia="ar-SA"/>
    </w:rPr>
  </w:style>
  <w:style w:type="paragraph" w:styleId="Textodebalo">
    <w:name w:val="Balloon Text"/>
    <w:basedOn w:val="Normal"/>
    <w:link w:val="TextodebaloChar1"/>
    <w:uiPriority w:val="99"/>
    <w:semiHidden/>
    <w:unhideWhenUsed/>
    <w:rsid w:val="007C13B0"/>
    <w:pPr>
      <w:spacing w:after="0" w:line="240" w:lineRule="auto"/>
    </w:pPr>
    <w:rPr>
      <w:rFonts w:ascii="Segoe UI" w:hAnsi="Segoe UI" w:cs="Segoe UI"/>
      <w:sz w:val="18"/>
      <w:szCs w:val="18"/>
    </w:rPr>
  </w:style>
  <w:style w:type="character" w:customStyle="1" w:styleId="TextodebaloChar1">
    <w:name w:val="Texto de balão Char1"/>
    <w:link w:val="Textodebalo"/>
    <w:uiPriority w:val="99"/>
    <w:rsid w:val="007C13B0"/>
    <w:rPr>
      <w:rFonts w:ascii="Segoe UI" w:eastAsia="Calibri" w:hAnsi="Segoe UI" w:cs="Segoe UI"/>
      <w:kern w:val="1"/>
      <w:sz w:val="18"/>
      <w:szCs w:val="18"/>
      <w:lang w:eastAsia="ar-SA"/>
    </w:rPr>
  </w:style>
  <w:style w:type="character" w:styleId="HiperlinkVisitado">
    <w:name w:val="FollowedHyperlink"/>
    <w:uiPriority w:val="99"/>
    <w:semiHidden/>
    <w:unhideWhenUsed/>
    <w:rsid w:val="009B02F7"/>
    <w:rPr>
      <w:color w:val="954F72"/>
      <w:u w:val="single"/>
    </w:rPr>
  </w:style>
  <w:style w:type="character" w:styleId="TextodoEspaoReservado">
    <w:name w:val="Placeholder Text"/>
    <w:uiPriority w:val="99"/>
    <w:semiHidden/>
    <w:rsid w:val="00755E62"/>
    <w:rPr>
      <w:color w:val="808080"/>
    </w:rPr>
  </w:style>
  <w:style w:type="character" w:styleId="Forte">
    <w:name w:val="Strong"/>
    <w:uiPriority w:val="22"/>
    <w:qFormat/>
    <w:rsid w:val="00436BC2"/>
    <w:rPr>
      <w:b/>
      <w:bCs/>
    </w:rPr>
  </w:style>
  <w:style w:type="character" w:customStyle="1" w:styleId="apple-converted-space">
    <w:name w:val="apple-converted-space"/>
    <w:basedOn w:val="Fontepargpadro"/>
    <w:rsid w:val="00436BC2"/>
  </w:style>
  <w:style w:type="paragraph" w:customStyle="1" w:styleId="volissue">
    <w:name w:val="volissue"/>
    <w:basedOn w:val="Normal"/>
    <w:rsid w:val="00B4498A"/>
    <w:pPr>
      <w:suppressAutoHyphens w:val="0"/>
      <w:spacing w:before="100" w:beforeAutospacing="1" w:after="100" w:afterAutospacing="1" w:line="240" w:lineRule="auto"/>
    </w:pPr>
    <w:rPr>
      <w:rFonts w:eastAsia="Times New Roman" w:cs="Times New Roman"/>
      <w:kern w:val="0"/>
      <w:sz w:val="24"/>
      <w:lang w:eastAsia="pt-BR"/>
    </w:rPr>
  </w:style>
  <w:style w:type="paragraph" w:styleId="Reviso">
    <w:name w:val="Revision"/>
    <w:hidden/>
    <w:uiPriority w:val="99"/>
    <w:semiHidden/>
    <w:rsid w:val="002C6919"/>
    <w:rPr>
      <w:rFonts w:eastAsia="Calibri" w:cs="Calibri"/>
      <w:kern w:val="1"/>
      <w:sz w:val="22"/>
      <w:szCs w:val="24"/>
      <w:lang w:eastAsia="ar-SA"/>
    </w:rPr>
  </w:style>
  <w:style w:type="paragraph" w:styleId="Corpodetexto2">
    <w:name w:val="Body Text 2"/>
    <w:basedOn w:val="Normal"/>
    <w:link w:val="Corpodetexto2Char"/>
    <w:uiPriority w:val="99"/>
    <w:semiHidden/>
    <w:unhideWhenUsed/>
    <w:rsid w:val="0030277A"/>
    <w:pPr>
      <w:suppressAutoHyphens w:val="0"/>
      <w:spacing w:after="120" w:line="480" w:lineRule="auto"/>
    </w:pPr>
    <w:rPr>
      <w:rFonts w:cs="Times New Roman"/>
      <w:kern w:val="0"/>
      <w:szCs w:val="22"/>
      <w:lang w:eastAsia="en-US"/>
    </w:rPr>
  </w:style>
  <w:style w:type="character" w:customStyle="1" w:styleId="Corpodetexto2Char">
    <w:name w:val="Corpo de texto 2 Char"/>
    <w:link w:val="Corpodetexto2"/>
    <w:uiPriority w:val="99"/>
    <w:semiHidden/>
    <w:rsid w:val="0030277A"/>
    <w:rPr>
      <w:rFonts w:eastAsia="Calibri"/>
      <w:sz w:val="22"/>
      <w:szCs w:val="22"/>
      <w:lang w:eastAsia="en-US"/>
    </w:rPr>
  </w:style>
  <w:style w:type="character" w:customStyle="1" w:styleId="Ttulo3Char">
    <w:name w:val="Título 3 Char"/>
    <w:link w:val="Ttulo3"/>
    <w:uiPriority w:val="9"/>
    <w:semiHidden/>
    <w:rsid w:val="00993388"/>
    <w:rPr>
      <w:rFonts w:ascii="Calibri Light" w:eastAsia="Times New Roman" w:hAnsi="Calibri Light" w:cs="Times New Roman"/>
      <w:color w:val="1F4D78"/>
      <w:kern w:val="1"/>
      <w:sz w:val="24"/>
      <w:szCs w:val="24"/>
      <w:lang w:eastAsia="en-US"/>
    </w:rPr>
  </w:style>
  <w:style w:type="character" w:customStyle="1" w:styleId="CorpodetextoChar">
    <w:name w:val="Corpo de texto Char"/>
    <w:rsid w:val="00993388"/>
    <w:rPr>
      <w:sz w:val="24"/>
      <w:szCs w:val="24"/>
      <w:lang w:eastAsia="en-US"/>
    </w:rPr>
  </w:style>
  <w:style w:type="character" w:styleId="nfase">
    <w:name w:val="Emphasis"/>
    <w:qFormat/>
    <w:rsid w:val="00993388"/>
    <w:rPr>
      <w:i/>
      <w:iCs/>
    </w:rPr>
  </w:style>
  <w:style w:type="character" w:customStyle="1" w:styleId="Refdecomentrio2">
    <w:name w:val="Ref. de comentário2"/>
    <w:rsid w:val="00993388"/>
    <w:rPr>
      <w:sz w:val="16"/>
      <w:szCs w:val="16"/>
    </w:rPr>
  </w:style>
  <w:style w:type="paragraph" w:customStyle="1" w:styleId="Ttulo20">
    <w:name w:val="Título2"/>
    <w:basedOn w:val="Normal"/>
    <w:next w:val="Corpodetexto"/>
    <w:rsid w:val="00993388"/>
    <w:pPr>
      <w:keepNext/>
      <w:spacing w:before="240" w:after="120" w:line="254" w:lineRule="auto"/>
    </w:pPr>
    <w:rPr>
      <w:rFonts w:ascii="Liberation Sans" w:eastAsia="Microsoft YaHei" w:hAnsi="Liberation Sans" w:cs="Mangal"/>
      <w:sz w:val="28"/>
      <w:szCs w:val="28"/>
      <w:lang w:eastAsia="en-US"/>
    </w:rPr>
  </w:style>
  <w:style w:type="paragraph" w:customStyle="1" w:styleId="Texto">
    <w:name w:val="Texto"/>
    <w:basedOn w:val="Normal"/>
    <w:rsid w:val="00993388"/>
    <w:pPr>
      <w:widowControl w:val="0"/>
      <w:spacing w:after="0" w:line="252" w:lineRule="auto"/>
      <w:ind w:firstLine="202"/>
      <w:jc w:val="both"/>
    </w:pPr>
    <w:rPr>
      <w:rFonts w:eastAsia="Times New Roman" w:cs="Times New Roman"/>
      <w:kern w:val="0"/>
      <w:sz w:val="20"/>
      <w:szCs w:val="20"/>
      <w:lang w:val="en-US"/>
    </w:rPr>
  </w:style>
  <w:style w:type="paragraph" w:customStyle="1" w:styleId="western">
    <w:name w:val="western"/>
    <w:basedOn w:val="Normal"/>
    <w:rsid w:val="00993388"/>
    <w:pPr>
      <w:suppressAutoHyphens w:val="0"/>
      <w:spacing w:before="280" w:after="119" w:line="288" w:lineRule="auto"/>
    </w:pPr>
    <w:rPr>
      <w:rFonts w:eastAsia="Times New Roman" w:cs="Times New Roman"/>
      <w:kern w:val="0"/>
      <w:sz w:val="24"/>
      <w:lang w:eastAsia="pt-BR"/>
    </w:rPr>
  </w:style>
  <w:style w:type="paragraph" w:customStyle="1" w:styleId="Textodebalo2">
    <w:name w:val="Texto de balão2"/>
    <w:basedOn w:val="Normal"/>
    <w:rsid w:val="00993388"/>
    <w:pPr>
      <w:spacing w:after="0" w:line="240" w:lineRule="auto"/>
    </w:pPr>
    <w:rPr>
      <w:rFonts w:ascii="Segoe UI" w:hAnsi="Segoe UI" w:cs="Segoe UI"/>
      <w:sz w:val="18"/>
      <w:szCs w:val="18"/>
      <w:lang w:eastAsia="en-US"/>
    </w:rPr>
  </w:style>
  <w:style w:type="paragraph" w:customStyle="1" w:styleId="Textodecomentrio2">
    <w:name w:val="Texto de comentário2"/>
    <w:basedOn w:val="Normal"/>
    <w:rsid w:val="00993388"/>
    <w:pPr>
      <w:spacing w:after="160" w:line="254" w:lineRule="auto"/>
    </w:pPr>
    <w:rPr>
      <w:rFonts w:cs="Times New Roman"/>
      <w:sz w:val="20"/>
      <w:szCs w:val="20"/>
      <w:lang w:eastAsia="en-US"/>
    </w:rPr>
  </w:style>
  <w:style w:type="paragraph" w:customStyle="1" w:styleId="Assuntodocomentrio2">
    <w:name w:val="Assunto do comentário2"/>
    <w:basedOn w:val="Textodecomentrio2"/>
    <w:rsid w:val="00993388"/>
    <w:rPr>
      <w:b/>
      <w:bCs/>
    </w:rPr>
  </w:style>
  <w:style w:type="paragraph" w:customStyle="1" w:styleId="PargrafodaLista2">
    <w:name w:val="Parágrafo da Lista2"/>
    <w:basedOn w:val="Normal"/>
    <w:rsid w:val="00993388"/>
    <w:pPr>
      <w:suppressAutoHyphens w:val="0"/>
      <w:ind w:left="720"/>
      <w:contextualSpacing/>
    </w:pPr>
    <w:rPr>
      <w:rFonts w:cs="Times New Roman"/>
      <w:kern w:val="0"/>
      <w:sz w:val="24"/>
      <w:lang w:eastAsia="en-US"/>
    </w:rPr>
  </w:style>
  <w:style w:type="paragraph" w:customStyle="1" w:styleId="Text">
    <w:name w:val="Text"/>
    <w:basedOn w:val="Normal"/>
    <w:rsid w:val="00993388"/>
    <w:pPr>
      <w:widowControl w:val="0"/>
      <w:autoSpaceDE w:val="0"/>
      <w:spacing w:after="0" w:line="252" w:lineRule="auto"/>
      <w:ind w:firstLine="202"/>
      <w:jc w:val="both"/>
    </w:pPr>
    <w:rPr>
      <w:rFonts w:eastAsia="Times New Roman" w:cs="Times New Roman"/>
      <w:kern w:val="0"/>
      <w:sz w:val="20"/>
      <w:szCs w:val="20"/>
      <w:lang w:val="en-US"/>
    </w:rPr>
  </w:style>
  <w:style w:type="character" w:customStyle="1" w:styleId="TextodecomentrioChar2">
    <w:name w:val="Texto de comentário Char2"/>
    <w:uiPriority w:val="99"/>
    <w:semiHidden/>
    <w:rsid w:val="00993388"/>
    <w:rPr>
      <w:rFonts w:eastAsia="Calibri"/>
      <w:kern w:val="1"/>
      <w:lang w:eastAsia="en-US"/>
    </w:rPr>
  </w:style>
  <w:style w:type="character" w:customStyle="1" w:styleId="AssuntodocomentrioChar2">
    <w:name w:val="Assunto do comentário Char2"/>
    <w:uiPriority w:val="99"/>
    <w:semiHidden/>
    <w:rsid w:val="00993388"/>
    <w:rPr>
      <w:rFonts w:eastAsia="Calibri"/>
      <w:b/>
      <w:bCs/>
      <w:kern w:val="1"/>
      <w:lang w:eastAsia="en-US"/>
    </w:rPr>
  </w:style>
  <w:style w:type="character" w:styleId="TtulodoLivro">
    <w:name w:val="Book Title"/>
    <w:uiPriority w:val="33"/>
    <w:qFormat/>
    <w:rsid w:val="00086B4F"/>
    <w:rPr>
      <w:b/>
      <w:bCs/>
      <w:i/>
      <w:iCs/>
      <w:spacing w:val="5"/>
    </w:rPr>
  </w:style>
  <w:style w:type="paragraph" w:styleId="ndicedeilustraes">
    <w:name w:val="table of figures"/>
    <w:basedOn w:val="Normal"/>
    <w:next w:val="Normal"/>
    <w:uiPriority w:val="99"/>
    <w:unhideWhenUsed/>
    <w:rsid w:val="00D5529F"/>
    <w:pPr>
      <w:spacing w:after="0"/>
    </w:pPr>
  </w:style>
  <w:style w:type="paragraph" w:styleId="Textodenotaderodap">
    <w:name w:val="footnote text"/>
    <w:basedOn w:val="Normal"/>
    <w:link w:val="TextodenotaderodapChar"/>
    <w:uiPriority w:val="99"/>
    <w:semiHidden/>
    <w:unhideWhenUsed/>
    <w:rsid w:val="004B39D9"/>
    <w:pPr>
      <w:spacing w:after="0" w:line="240" w:lineRule="auto"/>
    </w:pPr>
    <w:rPr>
      <w:sz w:val="20"/>
      <w:szCs w:val="20"/>
    </w:rPr>
  </w:style>
  <w:style w:type="character" w:customStyle="1" w:styleId="TextodenotaderodapChar">
    <w:name w:val="Texto de nota de rodapé Char"/>
    <w:link w:val="Textodenotaderodap"/>
    <w:uiPriority w:val="99"/>
    <w:semiHidden/>
    <w:rsid w:val="004B39D9"/>
    <w:rPr>
      <w:rFonts w:eastAsia="Calibri" w:cs="Calibri"/>
      <w:kern w:val="1"/>
      <w:lang w:eastAsia="ar-SA"/>
    </w:rPr>
  </w:style>
  <w:style w:type="character" w:styleId="Refdenotaderodap">
    <w:name w:val="footnote reference"/>
    <w:uiPriority w:val="99"/>
    <w:semiHidden/>
    <w:unhideWhenUsed/>
    <w:rsid w:val="004B39D9"/>
    <w:rPr>
      <w:vertAlign w:val="superscript"/>
    </w:rPr>
  </w:style>
</w:styles>
</file>

<file path=word/webSettings.xml><?xml version="1.0" encoding="utf-8"?>
<w:webSettings xmlns:r="http://schemas.openxmlformats.org/officeDocument/2006/relationships" xmlns:w="http://schemas.openxmlformats.org/wordprocessingml/2006/main">
  <w:divs>
    <w:div w:id="76489852">
      <w:bodyDiv w:val="1"/>
      <w:marLeft w:val="0"/>
      <w:marRight w:val="0"/>
      <w:marTop w:val="0"/>
      <w:marBottom w:val="0"/>
      <w:divBdr>
        <w:top w:val="none" w:sz="0" w:space="0" w:color="auto"/>
        <w:left w:val="none" w:sz="0" w:space="0" w:color="auto"/>
        <w:bottom w:val="none" w:sz="0" w:space="0" w:color="auto"/>
        <w:right w:val="none" w:sz="0" w:space="0" w:color="auto"/>
      </w:divBdr>
      <w:divsChild>
        <w:div w:id="230819921">
          <w:marLeft w:val="0"/>
          <w:marRight w:val="0"/>
          <w:marTop w:val="0"/>
          <w:marBottom w:val="0"/>
          <w:divBdr>
            <w:top w:val="none" w:sz="0" w:space="0" w:color="auto"/>
            <w:left w:val="none" w:sz="0" w:space="0" w:color="auto"/>
            <w:bottom w:val="none" w:sz="0" w:space="0" w:color="auto"/>
            <w:right w:val="none" w:sz="0" w:space="0" w:color="auto"/>
          </w:divBdr>
          <w:divsChild>
            <w:div w:id="997805031">
              <w:marLeft w:val="0"/>
              <w:marRight w:val="0"/>
              <w:marTop w:val="0"/>
              <w:marBottom w:val="0"/>
              <w:divBdr>
                <w:top w:val="none" w:sz="0" w:space="0" w:color="auto"/>
                <w:left w:val="none" w:sz="0" w:space="0" w:color="auto"/>
                <w:bottom w:val="none" w:sz="0" w:space="0" w:color="auto"/>
                <w:right w:val="none" w:sz="0" w:space="0" w:color="auto"/>
              </w:divBdr>
              <w:divsChild>
                <w:div w:id="1716349868">
                  <w:marLeft w:val="0"/>
                  <w:marRight w:val="0"/>
                  <w:marTop w:val="0"/>
                  <w:marBottom w:val="0"/>
                  <w:divBdr>
                    <w:top w:val="none" w:sz="0" w:space="0" w:color="auto"/>
                    <w:left w:val="none" w:sz="0" w:space="0" w:color="auto"/>
                    <w:bottom w:val="none" w:sz="0" w:space="0" w:color="auto"/>
                    <w:right w:val="none" w:sz="0" w:space="0" w:color="auto"/>
                  </w:divBdr>
                  <w:divsChild>
                    <w:div w:id="1068188172">
                      <w:marLeft w:val="0"/>
                      <w:marRight w:val="0"/>
                      <w:marTop w:val="0"/>
                      <w:marBottom w:val="0"/>
                      <w:divBdr>
                        <w:top w:val="none" w:sz="0" w:space="0" w:color="auto"/>
                        <w:left w:val="none" w:sz="0" w:space="0" w:color="auto"/>
                        <w:bottom w:val="none" w:sz="0" w:space="0" w:color="auto"/>
                        <w:right w:val="none" w:sz="0" w:space="0" w:color="auto"/>
                      </w:divBdr>
                      <w:divsChild>
                        <w:div w:id="1804540147">
                          <w:marLeft w:val="0"/>
                          <w:marRight w:val="0"/>
                          <w:marTop w:val="0"/>
                          <w:marBottom w:val="0"/>
                          <w:divBdr>
                            <w:top w:val="none" w:sz="0" w:space="0" w:color="auto"/>
                            <w:left w:val="none" w:sz="0" w:space="0" w:color="auto"/>
                            <w:bottom w:val="none" w:sz="0" w:space="0" w:color="auto"/>
                            <w:right w:val="none" w:sz="0" w:space="0" w:color="auto"/>
                          </w:divBdr>
                          <w:divsChild>
                            <w:div w:id="976572398">
                              <w:marLeft w:val="0"/>
                              <w:marRight w:val="0"/>
                              <w:marTop w:val="0"/>
                              <w:marBottom w:val="0"/>
                              <w:divBdr>
                                <w:top w:val="none" w:sz="0" w:space="0" w:color="auto"/>
                                <w:left w:val="none" w:sz="0" w:space="0" w:color="auto"/>
                                <w:bottom w:val="none" w:sz="0" w:space="0" w:color="auto"/>
                                <w:right w:val="none" w:sz="0" w:space="0" w:color="auto"/>
                              </w:divBdr>
                              <w:divsChild>
                                <w:div w:id="192885381">
                                  <w:marLeft w:val="0"/>
                                  <w:marRight w:val="0"/>
                                  <w:marTop w:val="0"/>
                                  <w:marBottom w:val="0"/>
                                  <w:divBdr>
                                    <w:top w:val="none" w:sz="0" w:space="0" w:color="auto"/>
                                    <w:left w:val="none" w:sz="0" w:space="0" w:color="auto"/>
                                    <w:bottom w:val="none" w:sz="0" w:space="0" w:color="auto"/>
                                    <w:right w:val="none" w:sz="0" w:space="0" w:color="auto"/>
                                  </w:divBdr>
                                  <w:divsChild>
                                    <w:div w:id="1559779678">
                                      <w:marLeft w:val="0"/>
                                      <w:marRight w:val="0"/>
                                      <w:marTop w:val="0"/>
                                      <w:marBottom w:val="0"/>
                                      <w:divBdr>
                                        <w:top w:val="none" w:sz="0" w:space="0" w:color="auto"/>
                                        <w:left w:val="none" w:sz="0" w:space="0" w:color="auto"/>
                                        <w:bottom w:val="none" w:sz="0" w:space="0" w:color="auto"/>
                                        <w:right w:val="none" w:sz="0" w:space="0" w:color="auto"/>
                                      </w:divBdr>
                                      <w:divsChild>
                                        <w:div w:id="88622297">
                                          <w:marLeft w:val="0"/>
                                          <w:marRight w:val="0"/>
                                          <w:marTop w:val="0"/>
                                          <w:marBottom w:val="0"/>
                                          <w:divBdr>
                                            <w:top w:val="none" w:sz="0" w:space="0" w:color="auto"/>
                                            <w:left w:val="none" w:sz="0" w:space="0" w:color="auto"/>
                                            <w:bottom w:val="none" w:sz="0" w:space="0" w:color="auto"/>
                                            <w:right w:val="none" w:sz="0" w:space="0" w:color="auto"/>
                                          </w:divBdr>
                                          <w:divsChild>
                                            <w:div w:id="1650134147">
                                              <w:marLeft w:val="0"/>
                                              <w:marRight w:val="0"/>
                                              <w:marTop w:val="0"/>
                                              <w:marBottom w:val="0"/>
                                              <w:divBdr>
                                                <w:top w:val="single" w:sz="12" w:space="2" w:color="FFFFCC"/>
                                                <w:left w:val="single" w:sz="12" w:space="2" w:color="FFFFCC"/>
                                                <w:bottom w:val="single" w:sz="12" w:space="2" w:color="FFFFCC"/>
                                                <w:right w:val="single" w:sz="12" w:space="0" w:color="FFFFCC"/>
                                              </w:divBdr>
                                              <w:divsChild>
                                                <w:div w:id="88552958">
                                                  <w:marLeft w:val="0"/>
                                                  <w:marRight w:val="0"/>
                                                  <w:marTop w:val="0"/>
                                                  <w:marBottom w:val="0"/>
                                                  <w:divBdr>
                                                    <w:top w:val="none" w:sz="0" w:space="0" w:color="auto"/>
                                                    <w:left w:val="none" w:sz="0" w:space="0" w:color="auto"/>
                                                    <w:bottom w:val="none" w:sz="0" w:space="0" w:color="auto"/>
                                                    <w:right w:val="none" w:sz="0" w:space="0" w:color="auto"/>
                                                  </w:divBdr>
                                                  <w:divsChild>
                                                    <w:div w:id="1663049533">
                                                      <w:marLeft w:val="0"/>
                                                      <w:marRight w:val="0"/>
                                                      <w:marTop w:val="0"/>
                                                      <w:marBottom w:val="0"/>
                                                      <w:divBdr>
                                                        <w:top w:val="none" w:sz="0" w:space="0" w:color="auto"/>
                                                        <w:left w:val="none" w:sz="0" w:space="0" w:color="auto"/>
                                                        <w:bottom w:val="none" w:sz="0" w:space="0" w:color="auto"/>
                                                        <w:right w:val="none" w:sz="0" w:space="0" w:color="auto"/>
                                                      </w:divBdr>
                                                      <w:divsChild>
                                                        <w:div w:id="1031607887">
                                                          <w:marLeft w:val="0"/>
                                                          <w:marRight w:val="0"/>
                                                          <w:marTop w:val="0"/>
                                                          <w:marBottom w:val="0"/>
                                                          <w:divBdr>
                                                            <w:top w:val="none" w:sz="0" w:space="0" w:color="auto"/>
                                                            <w:left w:val="none" w:sz="0" w:space="0" w:color="auto"/>
                                                            <w:bottom w:val="none" w:sz="0" w:space="0" w:color="auto"/>
                                                            <w:right w:val="none" w:sz="0" w:space="0" w:color="auto"/>
                                                          </w:divBdr>
                                                          <w:divsChild>
                                                            <w:div w:id="1284966235">
                                                              <w:marLeft w:val="0"/>
                                                              <w:marRight w:val="0"/>
                                                              <w:marTop w:val="0"/>
                                                              <w:marBottom w:val="0"/>
                                                              <w:divBdr>
                                                                <w:top w:val="none" w:sz="0" w:space="0" w:color="auto"/>
                                                                <w:left w:val="none" w:sz="0" w:space="0" w:color="auto"/>
                                                                <w:bottom w:val="none" w:sz="0" w:space="0" w:color="auto"/>
                                                                <w:right w:val="none" w:sz="0" w:space="0" w:color="auto"/>
                                                              </w:divBdr>
                                                              <w:divsChild>
                                                                <w:div w:id="1851138729">
                                                                  <w:marLeft w:val="0"/>
                                                                  <w:marRight w:val="0"/>
                                                                  <w:marTop w:val="0"/>
                                                                  <w:marBottom w:val="0"/>
                                                                  <w:divBdr>
                                                                    <w:top w:val="none" w:sz="0" w:space="0" w:color="auto"/>
                                                                    <w:left w:val="none" w:sz="0" w:space="0" w:color="auto"/>
                                                                    <w:bottom w:val="none" w:sz="0" w:space="0" w:color="auto"/>
                                                                    <w:right w:val="none" w:sz="0" w:space="0" w:color="auto"/>
                                                                  </w:divBdr>
                                                                  <w:divsChild>
                                                                    <w:div w:id="1598637802">
                                                                      <w:marLeft w:val="0"/>
                                                                      <w:marRight w:val="0"/>
                                                                      <w:marTop w:val="0"/>
                                                                      <w:marBottom w:val="0"/>
                                                                      <w:divBdr>
                                                                        <w:top w:val="none" w:sz="0" w:space="0" w:color="auto"/>
                                                                        <w:left w:val="none" w:sz="0" w:space="0" w:color="auto"/>
                                                                        <w:bottom w:val="none" w:sz="0" w:space="0" w:color="auto"/>
                                                                        <w:right w:val="none" w:sz="0" w:space="0" w:color="auto"/>
                                                                      </w:divBdr>
                                                                      <w:divsChild>
                                                                        <w:div w:id="393696478">
                                                                          <w:marLeft w:val="0"/>
                                                                          <w:marRight w:val="0"/>
                                                                          <w:marTop w:val="0"/>
                                                                          <w:marBottom w:val="0"/>
                                                                          <w:divBdr>
                                                                            <w:top w:val="none" w:sz="0" w:space="0" w:color="auto"/>
                                                                            <w:left w:val="none" w:sz="0" w:space="0" w:color="auto"/>
                                                                            <w:bottom w:val="none" w:sz="0" w:space="0" w:color="auto"/>
                                                                            <w:right w:val="none" w:sz="0" w:space="0" w:color="auto"/>
                                                                          </w:divBdr>
                                                                          <w:divsChild>
                                                                            <w:div w:id="422142810">
                                                                              <w:marLeft w:val="0"/>
                                                                              <w:marRight w:val="0"/>
                                                                              <w:marTop w:val="0"/>
                                                                              <w:marBottom w:val="0"/>
                                                                              <w:divBdr>
                                                                                <w:top w:val="none" w:sz="0" w:space="0" w:color="auto"/>
                                                                                <w:left w:val="none" w:sz="0" w:space="0" w:color="auto"/>
                                                                                <w:bottom w:val="none" w:sz="0" w:space="0" w:color="auto"/>
                                                                                <w:right w:val="none" w:sz="0" w:space="0" w:color="auto"/>
                                                                              </w:divBdr>
                                                                              <w:divsChild>
                                                                                <w:div w:id="1217743464">
                                                                                  <w:marLeft w:val="0"/>
                                                                                  <w:marRight w:val="0"/>
                                                                                  <w:marTop w:val="0"/>
                                                                                  <w:marBottom w:val="0"/>
                                                                                  <w:divBdr>
                                                                                    <w:top w:val="none" w:sz="0" w:space="0" w:color="auto"/>
                                                                                    <w:left w:val="none" w:sz="0" w:space="0" w:color="auto"/>
                                                                                    <w:bottom w:val="none" w:sz="0" w:space="0" w:color="auto"/>
                                                                                    <w:right w:val="none" w:sz="0" w:space="0" w:color="auto"/>
                                                                                  </w:divBdr>
                                                                                  <w:divsChild>
                                                                                    <w:div w:id="1614092388">
                                                                                      <w:marLeft w:val="0"/>
                                                                                      <w:marRight w:val="0"/>
                                                                                      <w:marTop w:val="0"/>
                                                                                      <w:marBottom w:val="0"/>
                                                                                      <w:divBdr>
                                                                                        <w:top w:val="none" w:sz="0" w:space="0" w:color="auto"/>
                                                                                        <w:left w:val="none" w:sz="0" w:space="0" w:color="auto"/>
                                                                                        <w:bottom w:val="none" w:sz="0" w:space="0" w:color="auto"/>
                                                                                        <w:right w:val="none" w:sz="0" w:space="0" w:color="auto"/>
                                                                                      </w:divBdr>
                                                                                      <w:divsChild>
                                                                                        <w:div w:id="94711577">
                                                                                          <w:marLeft w:val="0"/>
                                                                                          <w:marRight w:val="120"/>
                                                                                          <w:marTop w:val="0"/>
                                                                                          <w:marBottom w:val="150"/>
                                                                                          <w:divBdr>
                                                                                            <w:top w:val="single" w:sz="2" w:space="0" w:color="EFEFEF"/>
                                                                                            <w:left w:val="single" w:sz="6" w:space="0" w:color="EFEFEF"/>
                                                                                            <w:bottom w:val="single" w:sz="6" w:space="0" w:color="E2E2E2"/>
                                                                                            <w:right w:val="single" w:sz="6" w:space="0" w:color="EFEFEF"/>
                                                                                          </w:divBdr>
                                                                                          <w:divsChild>
                                                                                            <w:div w:id="1334838746">
                                                                                              <w:marLeft w:val="0"/>
                                                                                              <w:marRight w:val="0"/>
                                                                                              <w:marTop w:val="0"/>
                                                                                              <w:marBottom w:val="0"/>
                                                                                              <w:divBdr>
                                                                                                <w:top w:val="none" w:sz="0" w:space="0" w:color="auto"/>
                                                                                                <w:left w:val="none" w:sz="0" w:space="0" w:color="auto"/>
                                                                                                <w:bottom w:val="none" w:sz="0" w:space="0" w:color="auto"/>
                                                                                                <w:right w:val="none" w:sz="0" w:space="0" w:color="auto"/>
                                                                                              </w:divBdr>
                                                                                              <w:divsChild>
                                                                                                <w:div w:id="142089103">
                                                                                                  <w:marLeft w:val="0"/>
                                                                                                  <w:marRight w:val="0"/>
                                                                                                  <w:marTop w:val="0"/>
                                                                                                  <w:marBottom w:val="0"/>
                                                                                                  <w:divBdr>
                                                                                                    <w:top w:val="none" w:sz="0" w:space="0" w:color="auto"/>
                                                                                                    <w:left w:val="none" w:sz="0" w:space="0" w:color="auto"/>
                                                                                                    <w:bottom w:val="none" w:sz="0" w:space="0" w:color="auto"/>
                                                                                                    <w:right w:val="none" w:sz="0" w:space="0" w:color="auto"/>
                                                                                                  </w:divBdr>
                                                                                                  <w:divsChild>
                                                                                                    <w:div w:id="1499616562">
                                                                                                      <w:marLeft w:val="0"/>
                                                                                                      <w:marRight w:val="0"/>
                                                                                                      <w:marTop w:val="0"/>
                                                                                                      <w:marBottom w:val="0"/>
                                                                                                      <w:divBdr>
                                                                                                        <w:top w:val="none" w:sz="0" w:space="0" w:color="auto"/>
                                                                                                        <w:left w:val="none" w:sz="0" w:space="0" w:color="auto"/>
                                                                                                        <w:bottom w:val="none" w:sz="0" w:space="0" w:color="auto"/>
                                                                                                        <w:right w:val="none" w:sz="0" w:space="0" w:color="auto"/>
                                                                                                      </w:divBdr>
                                                                                                      <w:divsChild>
                                                                                                        <w:div w:id="1512337231">
                                                                                                          <w:marLeft w:val="0"/>
                                                                                                          <w:marRight w:val="0"/>
                                                                                                          <w:marTop w:val="0"/>
                                                                                                          <w:marBottom w:val="0"/>
                                                                                                          <w:divBdr>
                                                                                                            <w:top w:val="none" w:sz="0" w:space="0" w:color="auto"/>
                                                                                                            <w:left w:val="none" w:sz="0" w:space="0" w:color="auto"/>
                                                                                                            <w:bottom w:val="none" w:sz="0" w:space="0" w:color="auto"/>
                                                                                                            <w:right w:val="none" w:sz="0" w:space="0" w:color="auto"/>
                                                                                                          </w:divBdr>
                                                                                                          <w:divsChild>
                                                                                                            <w:div w:id="1789618783">
                                                                                                              <w:marLeft w:val="0"/>
                                                                                                              <w:marRight w:val="0"/>
                                                                                                              <w:marTop w:val="0"/>
                                                                                                              <w:marBottom w:val="0"/>
                                                                                                              <w:divBdr>
                                                                                                                <w:top w:val="single" w:sz="2" w:space="4" w:color="D8D8D8"/>
                                                                                                                <w:left w:val="single" w:sz="2" w:space="0" w:color="D8D8D8"/>
                                                                                                                <w:bottom w:val="single" w:sz="2" w:space="4" w:color="D8D8D8"/>
                                                                                                                <w:right w:val="single" w:sz="2" w:space="0" w:color="D8D8D8"/>
                                                                                                              </w:divBdr>
                                                                                                              <w:divsChild>
                                                                                                                <w:div w:id="1153908877">
                                                                                                                  <w:marLeft w:val="225"/>
                                                                                                                  <w:marRight w:val="225"/>
                                                                                                                  <w:marTop w:val="75"/>
                                                                                                                  <w:marBottom w:val="75"/>
                                                                                                                  <w:divBdr>
                                                                                                                    <w:top w:val="none" w:sz="0" w:space="0" w:color="auto"/>
                                                                                                                    <w:left w:val="none" w:sz="0" w:space="0" w:color="auto"/>
                                                                                                                    <w:bottom w:val="none" w:sz="0" w:space="0" w:color="auto"/>
                                                                                                                    <w:right w:val="none" w:sz="0" w:space="0" w:color="auto"/>
                                                                                                                  </w:divBdr>
                                                                                                                  <w:divsChild>
                                                                                                                    <w:div w:id="938024860">
                                                                                                                      <w:marLeft w:val="0"/>
                                                                                                                      <w:marRight w:val="0"/>
                                                                                                                      <w:marTop w:val="0"/>
                                                                                                                      <w:marBottom w:val="0"/>
                                                                                                                      <w:divBdr>
                                                                                                                        <w:top w:val="single" w:sz="6" w:space="0" w:color="auto"/>
                                                                                                                        <w:left w:val="single" w:sz="6" w:space="0" w:color="auto"/>
                                                                                                                        <w:bottom w:val="single" w:sz="6" w:space="0" w:color="auto"/>
                                                                                                                        <w:right w:val="single" w:sz="6" w:space="0" w:color="auto"/>
                                                                                                                      </w:divBdr>
                                                                                                                      <w:divsChild>
                                                                                                                        <w:div w:id="1712878565">
                                                                                                                          <w:marLeft w:val="0"/>
                                                                                                                          <w:marRight w:val="0"/>
                                                                                                                          <w:marTop w:val="0"/>
                                                                                                                          <w:marBottom w:val="0"/>
                                                                                                                          <w:divBdr>
                                                                                                                            <w:top w:val="none" w:sz="0" w:space="0" w:color="auto"/>
                                                                                                                            <w:left w:val="none" w:sz="0" w:space="0" w:color="auto"/>
                                                                                                                            <w:bottom w:val="none" w:sz="0" w:space="0" w:color="auto"/>
                                                                                                                            <w:right w:val="none" w:sz="0" w:space="0" w:color="auto"/>
                                                                                                                          </w:divBdr>
                                                                                                                          <w:divsChild>
                                                                                                                            <w:div w:id="296883434">
                                                                                                                              <w:marLeft w:val="0"/>
                                                                                                                              <w:marRight w:val="0"/>
                                                                                                                              <w:marTop w:val="0"/>
                                                                                                                              <w:marBottom w:val="0"/>
                                                                                                                              <w:divBdr>
                                                                                                                                <w:top w:val="none" w:sz="0" w:space="0" w:color="auto"/>
                                                                                                                                <w:left w:val="none" w:sz="0" w:space="0" w:color="auto"/>
                                                                                                                                <w:bottom w:val="none" w:sz="0" w:space="0" w:color="auto"/>
                                                                                                                                <w:right w:val="none" w:sz="0" w:space="0" w:color="auto"/>
                                                                                                                              </w:divBdr>
                                                                                                                              <w:divsChild>
                                                                                                                                <w:div w:id="198936131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61948019">
                                                                                                                                      <w:marLeft w:val="0"/>
                                                                                                                                      <w:marRight w:val="0"/>
                                                                                                                                      <w:marTop w:val="0"/>
                                                                                                                                      <w:marBottom w:val="0"/>
                                                                                                                                      <w:divBdr>
                                                                                                                                        <w:top w:val="none" w:sz="0" w:space="0" w:color="auto"/>
                                                                                                                                        <w:left w:val="none" w:sz="0" w:space="0" w:color="auto"/>
                                                                                                                                        <w:bottom w:val="none" w:sz="0" w:space="0" w:color="auto"/>
                                                                                                                                        <w:right w:val="none" w:sz="0" w:space="0" w:color="auto"/>
                                                                                                                                      </w:divBdr>
                                                                                                                                      <w:divsChild>
                                                                                                                                        <w:div w:id="1580142071">
                                                                                                                                          <w:marLeft w:val="0"/>
                                                                                                                                          <w:marRight w:val="0"/>
                                                                                                                                          <w:marTop w:val="0"/>
                                                                                                                                          <w:marBottom w:val="0"/>
                                                                                                                                          <w:divBdr>
                                                                                                                                            <w:top w:val="none" w:sz="0" w:space="0" w:color="auto"/>
                                                                                                                                            <w:left w:val="none" w:sz="0" w:space="0" w:color="auto"/>
                                                                                                                                            <w:bottom w:val="none" w:sz="0" w:space="0" w:color="auto"/>
                                                                                                                                            <w:right w:val="none" w:sz="0" w:space="0" w:color="auto"/>
                                                                                                                                          </w:divBdr>
                                                                                                                                          <w:divsChild>
                                                                                                                                            <w:div w:id="9182950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7470950">
                                                                                                                                                  <w:marLeft w:val="0"/>
                                                                                                                                                  <w:marRight w:val="0"/>
                                                                                                                                                  <w:marTop w:val="0"/>
                                                                                                                                                  <w:marBottom w:val="0"/>
                                                                                                                                                  <w:divBdr>
                                                                                                                                                    <w:top w:val="none" w:sz="0" w:space="0" w:color="auto"/>
                                                                                                                                                    <w:left w:val="none" w:sz="0" w:space="0" w:color="auto"/>
                                                                                                                                                    <w:bottom w:val="none" w:sz="0" w:space="0" w:color="auto"/>
                                                                                                                                                    <w:right w:val="none" w:sz="0" w:space="0" w:color="auto"/>
                                                                                                                                                  </w:divBdr>
                                                                                                                                                  <w:divsChild>
                                                                                                                                                    <w:div w:id="1649439668">
                                                                                                                                                      <w:marLeft w:val="0"/>
                                                                                                                                                      <w:marRight w:val="0"/>
                                                                                                                                                      <w:marTop w:val="0"/>
                                                                                                                                                      <w:marBottom w:val="0"/>
                                                                                                                                                      <w:divBdr>
                                                                                                                                                        <w:top w:val="none" w:sz="0" w:space="0" w:color="auto"/>
                                                                                                                                                        <w:left w:val="none" w:sz="0" w:space="0" w:color="auto"/>
                                                                                                                                                        <w:bottom w:val="none" w:sz="0" w:space="0" w:color="auto"/>
                                                                                                                                                        <w:right w:val="none" w:sz="0" w:space="0" w:color="auto"/>
                                                                                                                                                      </w:divBdr>
                                                                                                                                                      <w:divsChild>
                                                                                                                                                        <w:div w:id="1004931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645899">
                                                                                                                                                              <w:marLeft w:val="0"/>
                                                                                                                                                              <w:marRight w:val="0"/>
                                                                                                                                                              <w:marTop w:val="0"/>
                                                                                                                                                              <w:marBottom w:val="0"/>
                                                                                                                                                              <w:divBdr>
                                                                                                                                                                <w:top w:val="none" w:sz="0" w:space="0" w:color="auto"/>
                                                                                                                                                                <w:left w:val="none" w:sz="0" w:space="0" w:color="auto"/>
                                                                                                                                                                <w:bottom w:val="none" w:sz="0" w:space="0" w:color="auto"/>
                                                                                                                                                                <w:right w:val="none" w:sz="0" w:space="0" w:color="auto"/>
                                                                                                                                                              </w:divBdr>
                                                                                                                                                              <w:divsChild>
                                                                                                                                                                <w:div w:id="317850754">
                                                                                                                                                                  <w:marLeft w:val="0"/>
                                                                                                                                                                  <w:marRight w:val="0"/>
                                                                                                                                                                  <w:marTop w:val="0"/>
                                                                                                                                                                  <w:marBottom w:val="0"/>
                                                                                                                                                                  <w:divBdr>
                                                                                                                                                                    <w:top w:val="none" w:sz="0" w:space="0" w:color="auto"/>
                                                                                                                                                                    <w:left w:val="none" w:sz="0" w:space="0" w:color="auto"/>
                                                                                                                                                                    <w:bottom w:val="none" w:sz="0" w:space="0" w:color="auto"/>
                                                                                                                                                                    <w:right w:val="none" w:sz="0" w:space="0" w:color="auto"/>
                                                                                                                                                                  </w:divBdr>
                                                                                                                                                                  <w:divsChild>
                                                                                                                                                                    <w:div w:id="21039869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58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23158">
      <w:bodyDiv w:val="1"/>
      <w:marLeft w:val="0"/>
      <w:marRight w:val="0"/>
      <w:marTop w:val="0"/>
      <w:marBottom w:val="0"/>
      <w:divBdr>
        <w:top w:val="none" w:sz="0" w:space="0" w:color="auto"/>
        <w:left w:val="none" w:sz="0" w:space="0" w:color="auto"/>
        <w:bottom w:val="none" w:sz="0" w:space="0" w:color="auto"/>
        <w:right w:val="none" w:sz="0" w:space="0" w:color="auto"/>
      </w:divBdr>
    </w:div>
    <w:div w:id="119155889">
      <w:bodyDiv w:val="1"/>
      <w:marLeft w:val="0"/>
      <w:marRight w:val="0"/>
      <w:marTop w:val="0"/>
      <w:marBottom w:val="0"/>
      <w:divBdr>
        <w:top w:val="none" w:sz="0" w:space="0" w:color="auto"/>
        <w:left w:val="none" w:sz="0" w:space="0" w:color="auto"/>
        <w:bottom w:val="none" w:sz="0" w:space="0" w:color="auto"/>
        <w:right w:val="none" w:sz="0" w:space="0" w:color="auto"/>
      </w:divBdr>
    </w:div>
    <w:div w:id="266305155">
      <w:bodyDiv w:val="1"/>
      <w:marLeft w:val="0"/>
      <w:marRight w:val="0"/>
      <w:marTop w:val="0"/>
      <w:marBottom w:val="0"/>
      <w:divBdr>
        <w:top w:val="none" w:sz="0" w:space="0" w:color="auto"/>
        <w:left w:val="none" w:sz="0" w:space="0" w:color="auto"/>
        <w:bottom w:val="none" w:sz="0" w:space="0" w:color="auto"/>
        <w:right w:val="none" w:sz="0" w:space="0" w:color="auto"/>
      </w:divBdr>
    </w:div>
    <w:div w:id="514928621">
      <w:bodyDiv w:val="1"/>
      <w:marLeft w:val="0"/>
      <w:marRight w:val="0"/>
      <w:marTop w:val="0"/>
      <w:marBottom w:val="0"/>
      <w:divBdr>
        <w:top w:val="none" w:sz="0" w:space="0" w:color="auto"/>
        <w:left w:val="none" w:sz="0" w:space="0" w:color="auto"/>
        <w:bottom w:val="none" w:sz="0" w:space="0" w:color="auto"/>
        <w:right w:val="none" w:sz="0" w:space="0" w:color="auto"/>
      </w:divBdr>
    </w:div>
    <w:div w:id="566570582">
      <w:bodyDiv w:val="1"/>
      <w:marLeft w:val="0"/>
      <w:marRight w:val="0"/>
      <w:marTop w:val="0"/>
      <w:marBottom w:val="0"/>
      <w:divBdr>
        <w:top w:val="none" w:sz="0" w:space="0" w:color="auto"/>
        <w:left w:val="none" w:sz="0" w:space="0" w:color="auto"/>
        <w:bottom w:val="none" w:sz="0" w:space="0" w:color="auto"/>
        <w:right w:val="none" w:sz="0" w:space="0" w:color="auto"/>
      </w:divBdr>
    </w:div>
    <w:div w:id="839004711">
      <w:bodyDiv w:val="1"/>
      <w:marLeft w:val="0"/>
      <w:marRight w:val="0"/>
      <w:marTop w:val="0"/>
      <w:marBottom w:val="0"/>
      <w:divBdr>
        <w:top w:val="none" w:sz="0" w:space="0" w:color="auto"/>
        <w:left w:val="none" w:sz="0" w:space="0" w:color="auto"/>
        <w:bottom w:val="none" w:sz="0" w:space="0" w:color="auto"/>
        <w:right w:val="none" w:sz="0" w:space="0" w:color="auto"/>
      </w:divBdr>
    </w:div>
    <w:div w:id="916399387">
      <w:bodyDiv w:val="1"/>
      <w:marLeft w:val="0"/>
      <w:marRight w:val="0"/>
      <w:marTop w:val="0"/>
      <w:marBottom w:val="0"/>
      <w:divBdr>
        <w:top w:val="none" w:sz="0" w:space="0" w:color="auto"/>
        <w:left w:val="none" w:sz="0" w:space="0" w:color="auto"/>
        <w:bottom w:val="none" w:sz="0" w:space="0" w:color="auto"/>
        <w:right w:val="none" w:sz="0" w:space="0" w:color="auto"/>
      </w:divBdr>
    </w:div>
    <w:div w:id="954671660">
      <w:bodyDiv w:val="1"/>
      <w:marLeft w:val="0"/>
      <w:marRight w:val="0"/>
      <w:marTop w:val="0"/>
      <w:marBottom w:val="0"/>
      <w:divBdr>
        <w:top w:val="none" w:sz="0" w:space="0" w:color="auto"/>
        <w:left w:val="none" w:sz="0" w:space="0" w:color="auto"/>
        <w:bottom w:val="none" w:sz="0" w:space="0" w:color="auto"/>
        <w:right w:val="none" w:sz="0" w:space="0" w:color="auto"/>
      </w:divBdr>
    </w:div>
    <w:div w:id="996615435">
      <w:bodyDiv w:val="1"/>
      <w:marLeft w:val="0"/>
      <w:marRight w:val="0"/>
      <w:marTop w:val="0"/>
      <w:marBottom w:val="0"/>
      <w:divBdr>
        <w:top w:val="none" w:sz="0" w:space="0" w:color="auto"/>
        <w:left w:val="none" w:sz="0" w:space="0" w:color="auto"/>
        <w:bottom w:val="none" w:sz="0" w:space="0" w:color="auto"/>
        <w:right w:val="none" w:sz="0" w:space="0" w:color="auto"/>
      </w:divBdr>
    </w:div>
    <w:div w:id="1058818671">
      <w:bodyDiv w:val="1"/>
      <w:marLeft w:val="0"/>
      <w:marRight w:val="0"/>
      <w:marTop w:val="0"/>
      <w:marBottom w:val="0"/>
      <w:divBdr>
        <w:top w:val="none" w:sz="0" w:space="0" w:color="auto"/>
        <w:left w:val="none" w:sz="0" w:space="0" w:color="auto"/>
        <w:bottom w:val="none" w:sz="0" w:space="0" w:color="auto"/>
        <w:right w:val="none" w:sz="0" w:space="0" w:color="auto"/>
      </w:divBdr>
      <w:divsChild>
        <w:div w:id="722094821">
          <w:marLeft w:val="0"/>
          <w:marRight w:val="0"/>
          <w:marTop w:val="0"/>
          <w:marBottom w:val="0"/>
          <w:divBdr>
            <w:top w:val="none" w:sz="0" w:space="0" w:color="auto"/>
            <w:left w:val="none" w:sz="0" w:space="0" w:color="auto"/>
            <w:bottom w:val="none" w:sz="0" w:space="0" w:color="auto"/>
            <w:right w:val="none" w:sz="0" w:space="0" w:color="auto"/>
          </w:divBdr>
          <w:divsChild>
            <w:div w:id="2098015650">
              <w:marLeft w:val="0"/>
              <w:marRight w:val="0"/>
              <w:marTop w:val="0"/>
              <w:marBottom w:val="0"/>
              <w:divBdr>
                <w:top w:val="none" w:sz="0" w:space="0" w:color="auto"/>
                <w:left w:val="none" w:sz="0" w:space="0" w:color="auto"/>
                <w:bottom w:val="none" w:sz="0" w:space="0" w:color="auto"/>
                <w:right w:val="none" w:sz="0" w:space="0" w:color="auto"/>
              </w:divBdr>
              <w:divsChild>
                <w:div w:id="234442097">
                  <w:marLeft w:val="0"/>
                  <w:marRight w:val="0"/>
                  <w:marTop w:val="0"/>
                  <w:marBottom w:val="0"/>
                  <w:divBdr>
                    <w:top w:val="none" w:sz="0" w:space="0" w:color="auto"/>
                    <w:left w:val="none" w:sz="0" w:space="0" w:color="auto"/>
                    <w:bottom w:val="none" w:sz="0" w:space="0" w:color="auto"/>
                    <w:right w:val="none" w:sz="0" w:space="0" w:color="auto"/>
                  </w:divBdr>
                  <w:divsChild>
                    <w:div w:id="772625891">
                      <w:marLeft w:val="0"/>
                      <w:marRight w:val="0"/>
                      <w:marTop w:val="0"/>
                      <w:marBottom w:val="0"/>
                      <w:divBdr>
                        <w:top w:val="none" w:sz="0" w:space="0" w:color="auto"/>
                        <w:left w:val="none" w:sz="0" w:space="0" w:color="auto"/>
                        <w:bottom w:val="none" w:sz="0" w:space="0" w:color="auto"/>
                        <w:right w:val="none" w:sz="0" w:space="0" w:color="auto"/>
                      </w:divBdr>
                      <w:divsChild>
                        <w:div w:id="172502284">
                          <w:marLeft w:val="0"/>
                          <w:marRight w:val="0"/>
                          <w:marTop w:val="0"/>
                          <w:marBottom w:val="0"/>
                          <w:divBdr>
                            <w:top w:val="none" w:sz="0" w:space="0" w:color="auto"/>
                            <w:left w:val="none" w:sz="0" w:space="0" w:color="auto"/>
                            <w:bottom w:val="none" w:sz="0" w:space="0" w:color="auto"/>
                            <w:right w:val="none" w:sz="0" w:space="0" w:color="auto"/>
                          </w:divBdr>
                          <w:divsChild>
                            <w:div w:id="1064789613">
                              <w:marLeft w:val="0"/>
                              <w:marRight w:val="0"/>
                              <w:marTop w:val="0"/>
                              <w:marBottom w:val="0"/>
                              <w:divBdr>
                                <w:top w:val="none" w:sz="0" w:space="0" w:color="auto"/>
                                <w:left w:val="none" w:sz="0" w:space="0" w:color="auto"/>
                                <w:bottom w:val="none" w:sz="0" w:space="0" w:color="auto"/>
                                <w:right w:val="none" w:sz="0" w:space="0" w:color="auto"/>
                              </w:divBdr>
                              <w:divsChild>
                                <w:div w:id="112406786">
                                  <w:marLeft w:val="0"/>
                                  <w:marRight w:val="0"/>
                                  <w:marTop w:val="0"/>
                                  <w:marBottom w:val="0"/>
                                  <w:divBdr>
                                    <w:top w:val="none" w:sz="0" w:space="0" w:color="auto"/>
                                    <w:left w:val="none" w:sz="0" w:space="0" w:color="auto"/>
                                    <w:bottom w:val="none" w:sz="0" w:space="0" w:color="auto"/>
                                    <w:right w:val="none" w:sz="0" w:space="0" w:color="auto"/>
                                  </w:divBdr>
                                  <w:divsChild>
                                    <w:div w:id="747534448">
                                      <w:marLeft w:val="0"/>
                                      <w:marRight w:val="0"/>
                                      <w:marTop w:val="0"/>
                                      <w:marBottom w:val="0"/>
                                      <w:divBdr>
                                        <w:top w:val="none" w:sz="0" w:space="0" w:color="auto"/>
                                        <w:left w:val="none" w:sz="0" w:space="0" w:color="auto"/>
                                        <w:bottom w:val="none" w:sz="0" w:space="0" w:color="auto"/>
                                        <w:right w:val="none" w:sz="0" w:space="0" w:color="auto"/>
                                      </w:divBdr>
                                      <w:divsChild>
                                        <w:div w:id="1955014937">
                                          <w:marLeft w:val="0"/>
                                          <w:marRight w:val="0"/>
                                          <w:marTop w:val="0"/>
                                          <w:marBottom w:val="0"/>
                                          <w:divBdr>
                                            <w:top w:val="none" w:sz="0" w:space="0" w:color="auto"/>
                                            <w:left w:val="none" w:sz="0" w:space="0" w:color="auto"/>
                                            <w:bottom w:val="none" w:sz="0" w:space="0" w:color="auto"/>
                                            <w:right w:val="none" w:sz="0" w:space="0" w:color="auto"/>
                                          </w:divBdr>
                                          <w:divsChild>
                                            <w:div w:id="1964261961">
                                              <w:marLeft w:val="0"/>
                                              <w:marRight w:val="0"/>
                                              <w:marTop w:val="0"/>
                                              <w:marBottom w:val="0"/>
                                              <w:divBdr>
                                                <w:top w:val="single" w:sz="12" w:space="2" w:color="FFFFCC"/>
                                                <w:left w:val="single" w:sz="12" w:space="2" w:color="FFFFCC"/>
                                                <w:bottom w:val="single" w:sz="12" w:space="2" w:color="FFFFCC"/>
                                                <w:right w:val="single" w:sz="12" w:space="0" w:color="FFFFCC"/>
                                              </w:divBdr>
                                              <w:divsChild>
                                                <w:div w:id="1745486801">
                                                  <w:marLeft w:val="0"/>
                                                  <w:marRight w:val="0"/>
                                                  <w:marTop w:val="0"/>
                                                  <w:marBottom w:val="0"/>
                                                  <w:divBdr>
                                                    <w:top w:val="none" w:sz="0" w:space="0" w:color="auto"/>
                                                    <w:left w:val="none" w:sz="0" w:space="0" w:color="auto"/>
                                                    <w:bottom w:val="none" w:sz="0" w:space="0" w:color="auto"/>
                                                    <w:right w:val="none" w:sz="0" w:space="0" w:color="auto"/>
                                                  </w:divBdr>
                                                  <w:divsChild>
                                                    <w:div w:id="1190798651">
                                                      <w:marLeft w:val="0"/>
                                                      <w:marRight w:val="0"/>
                                                      <w:marTop w:val="0"/>
                                                      <w:marBottom w:val="0"/>
                                                      <w:divBdr>
                                                        <w:top w:val="none" w:sz="0" w:space="0" w:color="auto"/>
                                                        <w:left w:val="none" w:sz="0" w:space="0" w:color="auto"/>
                                                        <w:bottom w:val="none" w:sz="0" w:space="0" w:color="auto"/>
                                                        <w:right w:val="none" w:sz="0" w:space="0" w:color="auto"/>
                                                      </w:divBdr>
                                                      <w:divsChild>
                                                        <w:div w:id="1790515410">
                                                          <w:marLeft w:val="0"/>
                                                          <w:marRight w:val="0"/>
                                                          <w:marTop w:val="0"/>
                                                          <w:marBottom w:val="0"/>
                                                          <w:divBdr>
                                                            <w:top w:val="none" w:sz="0" w:space="0" w:color="auto"/>
                                                            <w:left w:val="none" w:sz="0" w:space="0" w:color="auto"/>
                                                            <w:bottom w:val="none" w:sz="0" w:space="0" w:color="auto"/>
                                                            <w:right w:val="none" w:sz="0" w:space="0" w:color="auto"/>
                                                          </w:divBdr>
                                                          <w:divsChild>
                                                            <w:div w:id="1658998902">
                                                              <w:marLeft w:val="0"/>
                                                              <w:marRight w:val="0"/>
                                                              <w:marTop w:val="0"/>
                                                              <w:marBottom w:val="0"/>
                                                              <w:divBdr>
                                                                <w:top w:val="none" w:sz="0" w:space="0" w:color="auto"/>
                                                                <w:left w:val="none" w:sz="0" w:space="0" w:color="auto"/>
                                                                <w:bottom w:val="none" w:sz="0" w:space="0" w:color="auto"/>
                                                                <w:right w:val="none" w:sz="0" w:space="0" w:color="auto"/>
                                                              </w:divBdr>
                                                              <w:divsChild>
                                                                <w:div w:id="486630179">
                                                                  <w:marLeft w:val="0"/>
                                                                  <w:marRight w:val="0"/>
                                                                  <w:marTop w:val="0"/>
                                                                  <w:marBottom w:val="0"/>
                                                                  <w:divBdr>
                                                                    <w:top w:val="none" w:sz="0" w:space="0" w:color="auto"/>
                                                                    <w:left w:val="none" w:sz="0" w:space="0" w:color="auto"/>
                                                                    <w:bottom w:val="none" w:sz="0" w:space="0" w:color="auto"/>
                                                                    <w:right w:val="none" w:sz="0" w:space="0" w:color="auto"/>
                                                                  </w:divBdr>
                                                                  <w:divsChild>
                                                                    <w:div w:id="2027361503">
                                                                      <w:marLeft w:val="0"/>
                                                                      <w:marRight w:val="0"/>
                                                                      <w:marTop w:val="0"/>
                                                                      <w:marBottom w:val="0"/>
                                                                      <w:divBdr>
                                                                        <w:top w:val="none" w:sz="0" w:space="0" w:color="auto"/>
                                                                        <w:left w:val="none" w:sz="0" w:space="0" w:color="auto"/>
                                                                        <w:bottom w:val="none" w:sz="0" w:space="0" w:color="auto"/>
                                                                        <w:right w:val="none" w:sz="0" w:space="0" w:color="auto"/>
                                                                      </w:divBdr>
                                                                      <w:divsChild>
                                                                        <w:div w:id="18089988">
                                                                          <w:marLeft w:val="0"/>
                                                                          <w:marRight w:val="0"/>
                                                                          <w:marTop w:val="0"/>
                                                                          <w:marBottom w:val="0"/>
                                                                          <w:divBdr>
                                                                            <w:top w:val="none" w:sz="0" w:space="0" w:color="auto"/>
                                                                            <w:left w:val="none" w:sz="0" w:space="0" w:color="auto"/>
                                                                            <w:bottom w:val="none" w:sz="0" w:space="0" w:color="auto"/>
                                                                            <w:right w:val="none" w:sz="0" w:space="0" w:color="auto"/>
                                                                          </w:divBdr>
                                                                          <w:divsChild>
                                                                            <w:div w:id="1052654423">
                                                                              <w:marLeft w:val="0"/>
                                                                              <w:marRight w:val="0"/>
                                                                              <w:marTop w:val="0"/>
                                                                              <w:marBottom w:val="0"/>
                                                                              <w:divBdr>
                                                                                <w:top w:val="none" w:sz="0" w:space="0" w:color="auto"/>
                                                                                <w:left w:val="none" w:sz="0" w:space="0" w:color="auto"/>
                                                                                <w:bottom w:val="none" w:sz="0" w:space="0" w:color="auto"/>
                                                                                <w:right w:val="none" w:sz="0" w:space="0" w:color="auto"/>
                                                                              </w:divBdr>
                                                                              <w:divsChild>
                                                                                <w:div w:id="339552971">
                                                                                  <w:marLeft w:val="0"/>
                                                                                  <w:marRight w:val="0"/>
                                                                                  <w:marTop w:val="0"/>
                                                                                  <w:marBottom w:val="0"/>
                                                                                  <w:divBdr>
                                                                                    <w:top w:val="none" w:sz="0" w:space="0" w:color="auto"/>
                                                                                    <w:left w:val="none" w:sz="0" w:space="0" w:color="auto"/>
                                                                                    <w:bottom w:val="none" w:sz="0" w:space="0" w:color="auto"/>
                                                                                    <w:right w:val="none" w:sz="0" w:space="0" w:color="auto"/>
                                                                                  </w:divBdr>
                                                                                  <w:divsChild>
                                                                                    <w:div w:id="15348143">
                                                                                      <w:marLeft w:val="0"/>
                                                                                      <w:marRight w:val="0"/>
                                                                                      <w:marTop w:val="0"/>
                                                                                      <w:marBottom w:val="0"/>
                                                                                      <w:divBdr>
                                                                                        <w:top w:val="none" w:sz="0" w:space="0" w:color="auto"/>
                                                                                        <w:left w:val="none" w:sz="0" w:space="0" w:color="auto"/>
                                                                                        <w:bottom w:val="none" w:sz="0" w:space="0" w:color="auto"/>
                                                                                        <w:right w:val="none" w:sz="0" w:space="0" w:color="auto"/>
                                                                                      </w:divBdr>
                                                                                      <w:divsChild>
                                                                                        <w:div w:id="377438062">
                                                                                          <w:marLeft w:val="0"/>
                                                                                          <w:marRight w:val="120"/>
                                                                                          <w:marTop w:val="0"/>
                                                                                          <w:marBottom w:val="150"/>
                                                                                          <w:divBdr>
                                                                                            <w:top w:val="single" w:sz="2" w:space="0" w:color="EFEFEF"/>
                                                                                            <w:left w:val="single" w:sz="6" w:space="0" w:color="EFEFEF"/>
                                                                                            <w:bottom w:val="single" w:sz="6" w:space="0" w:color="E2E2E2"/>
                                                                                            <w:right w:val="single" w:sz="6" w:space="0" w:color="EFEFEF"/>
                                                                                          </w:divBdr>
                                                                                          <w:divsChild>
                                                                                            <w:div w:id="1256087002">
                                                                                              <w:marLeft w:val="0"/>
                                                                                              <w:marRight w:val="0"/>
                                                                                              <w:marTop w:val="0"/>
                                                                                              <w:marBottom w:val="0"/>
                                                                                              <w:divBdr>
                                                                                                <w:top w:val="none" w:sz="0" w:space="0" w:color="auto"/>
                                                                                                <w:left w:val="none" w:sz="0" w:space="0" w:color="auto"/>
                                                                                                <w:bottom w:val="none" w:sz="0" w:space="0" w:color="auto"/>
                                                                                                <w:right w:val="none" w:sz="0" w:space="0" w:color="auto"/>
                                                                                              </w:divBdr>
                                                                                              <w:divsChild>
                                                                                                <w:div w:id="376200280">
                                                                                                  <w:marLeft w:val="0"/>
                                                                                                  <w:marRight w:val="0"/>
                                                                                                  <w:marTop w:val="0"/>
                                                                                                  <w:marBottom w:val="0"/>
                                                                                                  <w:divBdr>
                                                                                                    <w:top w:val="none" w:sz="0" w:space="0" w:color="auto"/>
                                                                                                    <w:left w:val="none" w:sz="0" w:space="0" w:color="auto"/>
                                                                                                    <w:bottom w:val="none" w:sz="0" w:space="0" w:color="auto"/>
                                                                                                    <w:right w:val="none" w:sz="0" w:space="0" w:color="auto"/>
                                                                                                  </w:divBdr>
                                                                                                  <w:divsChild>
                                                                                                    <w:div w:id="1872456905">
                                                                                                      <w:marLeft w:val="0"/>
                                                                                                      <w:marRight w:val="0"/>
                                                                                                      <w:marTop w:val="0"/>
                                                                                                      <w:marBottom w:val="0"/>
                                                                                                      <w:divBdr>
                                                                                                        <w:top w:val="none" w:sz="0" w:space="0" w:color="auto"/>
                                                                                                        <w:left w:val="none" w:sz="0" w:space="0" w:color="auto"/>
                                                                                                        <w:bottom w:val="none" w:sz="0" w:space="0" w:color="auto"/>
                                                                                                        <w:right w:val="none" w:sz="0" w:space="0" w:color="auto"/>
                                                                                                      </w:divBdr>
                                                                                                      <w:divsChild>
                                                                                                        <w:div w:id="2068986733">
                                                                                                          <w:marLeft w:val="0"/>
                                                                                                          <w:marRight w:val="0"/>
                                                                                                          <w:marTop w:val="0"/>
                                                                                                          <w:marBottom w:val="0"/>
                                                                                                          <w:divBdr>
                                                                                                            <w:top w:val="none" w:sz="0" w:space="0" w:color="auto"/>
                                                                                                            <w:left w:val="none" w:sz="0" w:space="0" w:color="auto"/>
                                                                                                            <w:bottom w:val="none" w:sz="0" w:space="0" w:color="auto"/>
                                                                                                            <w:right w:val="none" w:sz="0" w:space="0" w:color="auto"/>
                                                                                                          </w:divBdr>
                                                                                                          <w:divsChild>
                                                                                                            <w:div w:id="1864899395">
                                                                                                              <w:marLeft w:val="0"/>
                                                                                                              <w:marRight w:val="0"/>
                                                                                                              <w:marTop w:val="0"/>
                                                                                                              <w:marBottom w:val="0"/>
                                                                                                              <w:divBdr>
                                                                                                                <w:top w:val="single" w:sz="2" w:space="4" w:color="D8D8D8"/>
                                                                                                                <w:left w:val="single" w:sz="2" w:space="0" w:color="D8D8D8"/>
                                                                                                                <w:bottom w:val="single" w:sz="2" w:space="4" w:color="D8D8D8"/>
                                                                                                                <w:right w:val="single" w:sz="2" w:space="0" w:color="D8D8D8"/>
                                                                                                              </w:divBdr>
                                                                                                              <w:divsChild>
                                                                                                                <w:div w:id="363480645">
                                                                                                                  <w:marLeft w:val="225"/>
                                                                                                                  <w:marRight w:val="225"/>
                                                                                                                  <w:marTop w:val="75"/>
                                                                                                                  <w:marBottom w:val="75"/>
                                                                                                                  <w:divBdr>
                                                                                                                    <w:top w:val="none" w:sz="0" w:space="0" w:color="auto"/>
                                                                                                                    <w:left w:val="none" w:sz="0" w:space="0" w:color="auto"/>
                                                                                                                    <w:bottom w:val="none" w:sz="0" w:space="0" w:color="auto"/>
                                                                                                                    <w:right w:val="none" w:sz="0" w:space="0" w:color="auto"/>
                                                                                                                  </w:divBdr>
                                                                                                                  <w:divsChild>
                                                                                                                    <w:div w:id="1078945002">
                                                                                                                      <w:marLeft w:val="0"/>
                                                                                                                      <w:marRight w:val="0"/>
                                                                                                                      <w:marTop w:val="0"/>
                                                                                                                      <w:marBottom w:val="0"/>
                                                                                                                      <w:divBdr>
                                                                                                                        <w:top w:val="single" w:sz="6" w:space="0" w:color="auto"/>
                                                                                                                        <w:left w:val="single" w:sz="6" w:space="0" w:color="auto"/>
                                                                                                                        <w:bottom w:val="single" w:sz="6" w:space="0" w:color="auto"/>
                                                                                                                        <w:right w:val="single" w:sz="6" w:space="0" w:color="auto"/>
                                                                                                                      </w:divBdr>
                                                                                                                      <w:divsChild>
                                                                                                                        <w:div w:id="2061129549">
                                                                                                                          <w:marLeft w:val="0"/>
                                                                                                                          <w:marRight w:val="0"/>
                                                                                                                          <w:marTop w:val="0"/>
                                                                                                                          <w:marBottom w:val="0"/>
                                                                                                                          <w:divBdr>
                                                                                                                            <w:top w:val="none" w:sz="0" w:space="0" w:color="auto"/>
                                                                                                                            <w:left w:val="none" w:sz="0" w:space="0" w:color="auto"/>
                                                                                                                            <w:bottom w:val="none" w:sz="0" w:space="0" w:color="auto"/>
                                                                                                                            <w:right w:val="none" w:sz="0" w:space="0" w:color="auto"/>
                                                                                                                          </w:divBdr>
                                                                                                                          <w:divsChild>
                                                                                                                            <w:div w:id="978999786">
                                                                                                                              <w:marLeft w:val="0"/>
                                                                                                                              <w:marRight w:val="0"/>
                                                                                                                              <w:marTop w:val="0"/>
                                                                                                                              <w:marBottom w:val="0"/>
                                                                                                                              <w:divBdr>
                                                                                                                                <w:top w:val="none" w:sz="0" w:space="0" w:color="auto"/>
                                                                                                                                <w:left w:val="none" w:sz="0" w:space="0" w:color="auto"/>
                                                                                                                                <w:bottom w:val="none" w:sz="0" w:space="0" w:color="auto"/>
                                                                                                                                <w:right w:val="none" w:sz="0" w:space="0" w:color="auto"/>
                                                                                                                              </w:divBdr>
                                                                                                                              <w:divsChild>
                                                                                                                                <w:div w:id="1004406503">
                                                                                                                                  <w:marLeft w:val="0"/>
                                                                                                                                  <w:marRight w:val="0"/>
                                                                                                                                  <w:marTop w:val="0"/>
                                                                                                                                  <w:marBottom w:val="0"/>
                                                                                                                                  <w:divBdr>
                                                                                                                                    <w:top w:val="none" w:sz="0" w:space="0" w:color="auto"/>
                                                                                                                                    <w:left w:val="none" w:sz="0" w:space="0" w:color="auto"/>
                                                                                                                                    <w:bottom w:val="none" w:sz="0" w:space="0" w:color="auto"/>
                                                                                                                                    <w:right w:val="none" w:sz="0" w:space="0" w:color="auto"/>
                                                                                                                                  </w:divBdr>
                                                                                                                                  <w:divsChild>
                                                                                                                                    <w:div w:id="665865129">
                                                                                                                                      <w:marLeft w:val="0"/>
                                                                                                                                      <w:marRight w:val="0"/>
                                                                                                                                      <w:marTop w:val="0"/>
                                                                                                                                      <w:marBottom w:val="0"/>
                                                                                                                                      <w:divBdr>
                                                                                                                                        <w:top w:val="none" w:sz="0" w:space="0" w:color="auto"/>
                                                                                                                                        <w:left w:val="none" w:sz="0" w:space="0" w:color="auto"/>
                                                                                                                                        <w:bottom w:val="none" w:sz="0" w:space="0" w:color="auto"/>
                                                                                                                                        <w:right w:val="none" w:sz="0" w:space="0" w:color="auto"/>
                                                                                                                                      </w:divBdr>
                                                                                                                                    </w:div>
                                                                                                                                  </w:divsChild>
                                                                                                                                </w:div>
                                                                                                                                <w:div w:id="1503624715">
                                                                                                                                  <w:marLeft w:val="0"/>
                                                                                                                                  <w:marRight w:val="0"/>
                                                                                                                                  <w:marTop w:val="0"/>
                                                                                                                                  <w:marBottom w:val="0"/>
                                                                                                                                  <w:divBdr>
                                                                                                                                    <w:top w:val="none" w:sz="0" w:space="0" w:color="auto"/>
                                                                                                                                    <w:left w:val="none" w:sz="0" w:space="0" w:color="auto"/>
                                                                                                                                    <w:bottom w:val="none" w:sz="0" w:space="0" w:color="auto"/>
                                                                                                                                    <w:right w:val="none" w:sz="0" w:space="0" w:color="auto"/>
                                                                                                                                  </w:divBdr>
                                                                                                                                  <w:divsChild>
                                                                                                                                    <w:div w:id="10355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665229">
      <w:bodyDiv w:val="1"/>
      <w:marLeft w:val="0"/>
      <w:marRight w:val="0"/>
      <w:marTop w:val="0"/>
      <w:marBottom w:val="0"/>
      <w:divBdr>
        <w:top w:val="none" w:sz="0" w:space="0" w:color="auto"/>
        <w:left w:val="none" w:sz="0" w:space="0" w:color="auto"/>
        <w:bottom w:val="none" w:sz="0" w:space="0" w:color="auto"/>
        <w:right w:val="none" w:sz="0" w:space="0" w:color="auto"/>
      </w:divBdr>
    </w:div>
    <w:div w:id="1405420857">
      <w:bodyDiv w:val="1"/>
      <w:marLeft w:val="0"/>
      <w:marRight w:val="0"/>
      <w:marTop w:val="0"/>
      <w:marBottom w:val="0"/>
      <w:divBdr>
        <w:top w:val="none" w:sz="0" w:space="0" w:color="auto"/>
        <w:left w:val="none" w:sz="0" w:space="0" w:color="auto"/>
        <w:bottom w:val="none" w:sz="0" w:space="0" w:color="auto"/>
        <w:right w:val="none" w:sz="0" w:space="0" w:color="auto"/>
      </w:divBdr>
      <w:divsChild>
        <w:div w:id="2028174420">
          <w:marLeft w:val="0"/>
          <w:marRight w:val="0"/>
          <w:marTop w:val="0"/>
          <w:marBottom w:val="0"/>
          <w:divBdr>
            <w:top w:val="none" w:sz="0" w:space="0" w:color="auto"/>
            <w:left w:val="none" w:sz="0" w:space="0" w:color="auto"/>
            <w:bottom w:val="none" w:sz="0" w:space="0" w:color="auto"/>
            <w:right w:val="none" w:sz="0" w:space="0" w:color="auto"/>
          </w:divBdr>
          <w:divsChild>
            <w:div w:id="344677536">
              <w:marLeft w:val="0"/>
              <w:marRight w:val="0"/>
              <w:marTop w:val="0"/>
              <w:marBottom w:val="0"/>
              <w:divBdr>
                <w:top w:val="none" w:sz="0" w:space="0" w:color="auto"/>
                <w:left w:val="none" w:sz="0" w:space="0" w:color="auto"/>
                <w:bottom w:val="none" w:sz="0" w:space="0" w:color="auto"/>
                <w:right w:val="none" w:sz="0" w:space="0" w:color="auto"/>
              </w:divBdr>
              <w:divsChild>
                <w:div w:id="1127507135">
                  <w:marLeft w:val="0"/>
                  <w:marRight w:val="0"/>
                  <w:marTop w:val="0"/>
                  <w:marBottom w:val="0"/>
                  <w:divBdr>
                    <w:top w:val="none" w:sz="0" w:space="0" w:color="auto"/>
                    <w:left w:val="none" w:sz="0" w:space="0" w:color="auto"/>
                    <w:bottom w:val="none" w:sz="0" w:space="0" w:color="auto"/>
                    <w:right w:val="none" w:sz="0" w:space="0" w:color="auto"/>
                  </w:divBdr>
                  <w:divsChild>
                    <w:div w:id="1869561548">
                      <w:marLeft w:val="0"/>
                      <w:marRight w:val="0"/>
                      <w:marTop w:val="0"/>
                      <w:marBottom w:val="0"/>
                      <w:divBdr>
                        <w:top w:val="none" w:sz="0" w:space="0" w:color="auto"/>
                        <w:left w:val="none" w:sz="0" w:space="0" w:color="auto"/>
                        <w:bottom w:val="none" w:sz="0" w:space="0" w:color="auto"/>
                        <w:right w:val="none" w:sz="0" w:space="0" w:color="auto"/>
                      </w:divBdr>
                      <w:divsChild>
                        <w:div w:id="1018627752">
                          <w:marLeft w:val="0"/>
                          <w:marRight w:val="0"/>
                          <w:marTop w:val="0"/>
                          <w:marBottom w:val="0"/>
                          <w:divBdr>
                            <w:top w:val="none" w:sz="0" w:space="0" w:color="auto"/>
                            <w:left w:val="none" w:sz="0" w:space="0" w:color="auto"/>
                            <w:bottom w:val="none" w:sz="0" w:space="0" w:color="auto"/>
                            <w:right w:val="none" w:sz="0" w:space="0" w:color="auto"/>
                          </w:divBdr>
                          <w:divsChild>
                            <w:div w:id="576788256">
                              <w:marLeft w:val="0"/>
                              <w:marRight w:val="0"/>
                              <w:marTop w:val="0"/>
                              <w:marBottom w:val="0"/>
                              <w:divBdr>
                                <w:top w:val="none" w:sz="0" w:space="0" w:color="auto"/>
                                <w:left w:val="none" w:sz="0" w:space="0" w:color="auto"/>
                                <w:bottom w:val="none" w:sz="0" w:space="0" w:color="auto"/>
                                <w:right w:val="none" w:sz="0" w:space="0" w:color="auto"/>
                              </w:divBdr>
                              <w:divsChild>
                                <w:div w:id="1251886689">
                                  <w:marLeft w:val="0"/>
                                  <w:marRight w:val="0"/>
                                  <w:marTop w:val="0"/>
                                  <w:marBottom w:val="0"/>
                                  <w:divBdr>
                                    <w:top w:val="none" w:sz="0" w:space="0" w:color="auto"/>
                                    <w:left w:val="none" w:sz="0" w:space="0" w:color="auto"/>
                                    <w:bottom w:val="none" w:sz="0" w:space="0" w:color="auto"/>
                                    <w:right w:val="none" w:sz="0" w:space="0" w:color="auto"/>
                                  </w:divBdr>
                                  <w:divsChild>
                                    <w:div w:id="770468169">
                                      <w:marLeft w:val="0"/>
                                      <w:marRight w:val="0"/>
                                      <w:marTop w:val="0"/>
                                      <w:marBottom w:val="0"/>
                                      <w:divBdr>
                                        <w:top w:val="none" w:sz="0" w:space="0" w:color="auto"/>
                                        <w:left w:val="none" w:sz="0" w:space="0" w:color="auto"/>
                                        <w:bottom w:val="none" w:sz="0" w:space="0" w:color="auto"/>
                                        <w:right w:val="none" w:sz="0" w:space="0" w:color="auto"/>
                                      </w:divBdr>
                                      <w:divsChild>
                                        <w:div w:id="987172639">
                                          <w:marLeft w:val="0"/>
                                          <w:marRight w:val="0"/>
                                          <w:marTop w:val="0"/>
                                          <w:marBottom w:val="0"/>
                                          <w:divBdr>
                                            <w:top w:val="none" w:sz="0" w:space="0" w:color="auto"/>
                                            <w:left w:val="none" w:sz="0" w:space="0" w:color="auto"/>
                                            <w:bottom w:val="none" w:sz="0" w:space="0" w:color="auto"/>
                                            <w:right w:val="none" w:sz="0" w:space="0" w:color="auto"/>
                                          </w:divBdr>
                                          <w:divsChild>
                                            <w:div w:id="2131894035">
                                              <w:marLeft w:val="0"/>
                                              <w:marRight w:val="0"/>
                                              <w:marTop w:val="0"/>
                                              <w:marBottom w:val="0"/>
                                              <w:divBdr>
                                                <w:top w:val="single" w:sz="12" w:space="2" w:color="FFFFCC"/>
                                                <w:left w:val="single" w:sz="12" w:space="2" w:color="FFFFCC"/>
                                                <w:bottom w:val="single" w:sz="12" w:space="2" w:color="FFFFCC"/>
                                                <w:right w:val="single" w:sz="12" w:space="0" w:color="FFFFCC"/>
                                              </w:divBdr>
                                              <w:divsChild>
                                                <w:div w:id="838421579">
                                                  <w:marLeft w:val="0"/>
                                                  <w:marRight w:val="0"/>
                                                  <w:marTop w:val="0"/>
                                                  <w:marBottom w:val="0"/>
                                                  <w:divBdr>
                                                    <w:top w:val="none" w:sz="0" w:space="0" w:color="auto"/>
                                                    <w:left w:val="none" w:sz="0" w:space="0" w:color="auto"/>
                                                    <w:bottom w:val="none" w:sz="0" w:space="0" w:color="auto"/>
                                                    <w:right w:val="none" w:sz="0" w:space="0" w:color="auto"/>
                                                  </w:divBdr>
                                                  <w:divsChild>
                                                    <w:div w:id="420949500">
                                                      <w:marLeft w:val="0"/>
                                                      <w:marRight w:val="0"/>
                                                      <w:marTop w:val="0"/>
                                                      <w:marBottom w:val="0"/>
                                                      <w:divBdr>
                                                        <w:top w:val="none" w:sz="0" w:space="0" w:color="auto"/>
                                                        <w:left w:val="none" w:sz="0" w:space="0" w:color="auto"/>
                                                        <w:bottom w:val="none" w:sz="0" w:space="0" w:color="auto"/>
                                                        <w:right w:val="none" w:sz="0" w:space="0" w:color="auto"/>
                                                      </w:divBdr>
                                                      <w:divsChild>
                                                        <w:div w:id="282689372">
                                                          <w:marLeft w:val="0"/>
                                                          <w:marRight w:val="0"/>
                                                          <w:marTop w:val="0"/>
                                                          <w:marBottom w:val="0"/>
                                                          <w:divBdr>
                                                            <w:top w:val="none" w:sz="0" w:space="0" w:color="auto"/>
                                                            <w:left w:val="none" w:sz="0" w:space="0" w:color="auto"/>
                                                            <w:bottom w:val="none" w:sz="0" w:space="0" w:color="auto"/>
                                                            <w:right w:val="none" w:sz="0" w:space="0" w:color="auto"/>
                                                          </w:divBdr>
                                                          <w:divsChild>
                                                            <w:div w:id="366561876">
                                                              <w:marLeft w:val="0"/>
                                                              <w:marRight w:val="0"/>
                                                              <w:marTop w:val="0"/>
                                                              <w:marBottom w:val="0"/>
                                                              <w:divBdr>
                                                                <w:top w:val="none" w:sz="0" w:space="0" w:color="auto"/>
                                                                <w:left w:val="none" w:sz="0" w:space="0" w:color="auto"/>
                                                                <w:bottom w:val="none" w:sz="0" w:space="0" w:color="auto"/>
                                                                <w:right w:val="none" w:sz="0" w:space="0" w:color="auto"/>
                                                              </w:divBdr>
                                                              <w:divsChild>
                                                                <w:div w:id="689067468">
                                                                  <w:marLeft w:val="0"/>
                                                                  <w:marRight w:val="0"/>
                                                                  <w:marTop w:val="0"/>
                                                                  <w:marBottom w:val="0"/>
                                                                  <w:divBdr>
                                                                    <w:top w:val="none" w:sz="0" w:space="0" w:color="auto"/>
                                                                    <w:left w:val="none" w:sz="0" w:space="0" w:color="auto"/>
                                                                    <w:bottom w:val="none" w:sz="0" w:space="0" w:color="auto"/>
                                                                    <w:right w:val="none" w:sz="0" w:space="0" w:color="auto"/>
                                                                  </w:divBdr>
                                                                  <w:divsChild>
                                                                    <w:div w:id="1076561101">
                                                                      <w:marLeft w:val="0"/>
                                                                      <w:marRight w:val="0"/>
                                                                      <w:marTop w:val="0"/>
                                                                      <w:marBottom w:val="0"/>
                                                                      <w:divBdr>
                                                                        <w:top w:val="none" w:sz="0" w:space="0" w:color="auto"/>
                                                                        <w:left w:val="none" w:sz="0" w:space="0" w:color="auto"/>
                                                                        <w:bottom w:val="none" w:sz="0" w:space="0" w:color="auto"/>
                                                                        <w:right w:val="none" w:sz="0" w:space="0" w:color="auto"/>
                                                                      </w:divBdr>
                                                                      <w:divsChild>
                                                                        <w:div w:id="560755808">
                                                                          <w:marLeft w:val="0"/>
                                                                          <w:marRight w:val="0"/>
                                                                          <w:marTop w:val="0"/>
                                                                          <w:marBottom w:val="0"/>
                                                                          <w:divBdr>
                                                                            <w:top w:val="none" w:sz="0" w:space="0" w:color="auto"/>
                                                                            <w:left w:val="none" w:sz="0" w:space="0" w:color="auto"/>
                                                                            <w:bottom w:val="none" w:sz="0" w:space="0" w:color="auto"/>
                                                                            <w:right w:val="none" w:sz="0" w:space="0" w:color="auto"/>
                                                                          </w:divBdr>
                                                                          <w:divsChild>
                                                                            <w:div w:id="1534541582">
                                                                              <w:marLeft w:val="0"/>
                                                                              <w:marRight w:val="0"/>
                                                                              <w:marTop w:val="0"/>
                                                                              <w:marBottom w:val="0"/>
                                                                              <w:divBdr>
                                                                                <w:top w:val="none" w:sz="0" w:space="0" w:color="auto"/>
                                                                                <w:left w:val="none" w:sz="0" w:space="0" w:color="auto"/>
                                                                                <w:bottom w:val="none" w:sz="0" w:space="0" w:color="auto"/>
                                                                                <w:right w:val="none" w:sz="0" w:space="0" w:color="auto"/>
                                                                              </w:divBdr>
                                                                              <w:divsChild>
                                                                                <w:div w:id="1213225002">
                                                                                  <w:marLeft w:val="0"/>
                                                                                  <w:marRight w:val="0"/>
                                                                                  <w:marTop w:val="0"/>
                                                                                  <w:marBottom w:val="0"/>
                                                                                  <w:divBdr>
                                                                                    <w:top w:val="none" w:sz="0" w:space="0" w:color="auto"/>
                                                                                    <w:left w:val="none" w:sz="0" w:space="0" w:color="auto"/>
                                                                                    <w:bottom w:val="none" w:sz="0" w:space="0" w:color="auto"/>
                                                                                    <w:right w:val="none" w:sz="0" w:space="0" w:color="auto"/>
                                                                                  </w:divBdr>
                                                                                  <w:divsChild>
                                                                                    <w:div w:id="1168641067">
                                                                                      <w:marLeft w:val="0"/>
                                                                                      <w:marRight w:val="0"/>
                                                                                      <w:marTop w:val="0"/>
                                                                                      <w:marBottom w:val="0"/>
                                                                                      <w:divBdr>
                                                                                        <w:top w:val="none" w:sz="0" w:space="0" w:color="auto"/>
                                                                                        <w:left w:val="none" w:sz="0" w:space="0" w:color="auto"/>
                                                                                        <w:bottom w:val="none" w:sz="0" w:space="0" w:color="auto"/>
                                                                                        <w:right w:val="none" w:sz="0" w:space="0" w:color="auto"/>
                                                                                      </w:divBdr>
                                                                                      <w:divsChild>
                                                                                        <w:div w:id="1734354455">
                                                                                          <w:marLeft w:val="0"/>
                                                                                          <w:marRight w:val="120"/>
                                                                                          <w:marTop w:val="0"/>
                                                                                          <w:marBottom w:val="150"/>
                                                                                          <w:divBdr>
                                                                                            <w:top w:val="single" w:sz="2" w:space="0" w:color="EFEFEF"/>
                                                                                            <w:left w:val="single" w:sz="6" w:space="0" w:color="EFEFEF"/>
                                                                                            <w:bottom w:val="single" w:sz="6" w:space="0" w:color="E2E2E2"/>
                                                                                            <w:right w:val="single" w:sz="6" w:space="0" w:color="EFEFEF"/>
                                                                                          </w:divBdr>
                                                                                          <w:divsChild>
                                                                                            <w:div w:id="1704866916">
                                                                                              <w:marLeft w:val="0"/>
                                                                                              <w:marRight w:val="0"/>
                                                                                              <w:marTop w:val="0"/>
                                                                                              <w:marBottom w:val="0"/>
                                                                                              <w:divBdr>
                                                                                                <w:top w:val="none" w:sz="0" w:space="0" w:color="auto"/>
                                                                                                <w:left w:val="none" w:sz="0" w:space="0" w:color="auto"/>
                                                                                                <w:bottom w:val="none" w:sz="0" w:space="0" w:color="auto"/>
                                                                                                <w:right w:val="none" w:sz="0" w:space="0" w:color="auto"/>
                                                                                              </w:divBdr>
                                                                                              <w:divsChild>
                                                                                                <w:div w:id="708922666">
                                                                                                  <w:marLeft w:val="0"/>
                                                                                                  <w:marRight w:val="0"/>
                                                                                                  <w:marTop w:val="0"/>
                                                                                                  <w:marBottom w:val="0"/>
                                                                                                  <w:divBdr>
                                                                                                    <w:top w:val="none" w:sz="0" w:space="0" w:color="auto"/>
                                                                                                    <w:left w:val="none" w:sz="0" w:space="0" w:color="auto"/>
                                                                                                    <w:bottom w:val="none" w:sz="0" w:space="0" w:color="auto"/>
                                                                                                    <w:right w:val="none" w:sz="0" w:space="0" w:color="auto"/>
                                                                                                  </w:divBdr>
                                                                                                  <w:divsChild>
                                                                                                    <w:div w:id="725883183">
                                                                                                      <w:marLeft w:val="0"/>
                                                                                                      <w:marRight w:val="0"/>
                                                                                                      <w:marTop w:val="0"/>
                                                                                                      <w:marBottom w:val="0"/>
                                                                                                      <w:divBdr>
                                                                                                        <w:top w:val="none" w:sz="0" w:space="0" w:color="auto"/>
                                                                                                        <w:left w:val="none" w:sz="0" w:space="0" w:color="auto"/>
                                                                                                        <w:bottom w:val="none" w:sz="0" w:space="0" w:color="auto"/>
                                                                                                        <w:right w:val="none" w:sz="0" w:space="0" w:color="auto"/>
                                                                                                      </w:divBdr>
                                                                                                      <w:divsChild>
                                                                                                        <w:div w:id="499852231">
                                                                                                          <w:marLeft w:val="0"/>
                                                                                                          <w:marRight w:val="0"/>
                                                                                                          <w:marTop w:val="0"/>
                                                                                                          <w:marBottom w:val="0"/>
                                                                                                          <w:divBdr>
                                                                                                            <w:top w:val="none" w:sz="0" w:space="0" w:color="auto"/>
                                                                                                            <w:left w:val="none" w:sz="0" w:space="0" w:color="auto"/>
                                                                                                            <w:bottom w:val="none" w:sz="0" w:space="0" w:color="auto"/>
                                                                                                            <w:right w:val="none" w:sz="0" w:space="0" w:color="auto"/>
                                                                                                          </w:divBdr>
                                                                                                          <w:divsChild>
                                                                                                            <w:div w:id="1239287883">
                                                                                                              <w:marLeft w:val="0"/>
                                                                                                              <w:marRight w:val="0"/>
                                                                                                              <w:marTop w:val="0"/>
                                                                                                              <w:marBottom w:val="0"/>
                                                                                                              <w:divBdr>
                                                                                                                <w:top w:val="single" w:sz="2" w:space="4" w:color="D8D8D8"/>
                                                                                                                <w:left w:val="single" w:sz="2" w:space="0" w:color="D8D8D8"/>
                                                                                                                <w:bottom w:val="single" w:sz="2" w:space="4" w:color="D8D8D8"/>
                                                                                                                <w:right w:val="single" w:sz="2" w:space="0" w:color="D8D8D8"/>
                                                                                                              </w:divBdr>
                                                                                                              <w:divsChild>
                                                                                                                <w:div w:id="2028361182">
                                                                                                                  <w:marLeft w:val="225"/>
                                                                                                                  <w:marRight w:val="225"/>
                                                                                                                  <w:marTop w:val="75"/>
                                                                                                                  <w:marBottom w:val="75"/>
                                                                                                                  <w:divBdr>
                                                                                                                    <w:top w:val="none" w:sz="0" w:space="0" w:color="auto"/>
                                                                                                                    <w:left w:val="none" w:sz="0" w:space="0" w:color="auto"/>
                                                                                                                    <w:bottom w:val="none" w:sz="0" w:space="0" w:color="auto"/>
                                                                                                                    <w:right w:val="none" w:sz="0" w:space="0" w:color="auto"/>
                                                                                                                  </w:divBdr>
                                                                                                                  <w:divsChild>
                                                                                                                    <w:div w:id="1951473676">
                                                                                                                      <w:marLeft w:val="0"/>
                                                                                                                      <w:marRight w:val="0"/>
                                                                                                                      <w:marTop w:val="0"/>
                                                                                                                      <w:marBottom w:val="0"/>
                                                                                                                      <w:divBdr>
                                                                                                                        <w:top w:val="single" w:sz="6" w:space="0" w:color="auto"/>
                                                                                                                        <w:left w:val="single" w:sz="6" w:space="0" w:color="auto"/>
                                                                                                                        <w:bottom w:val="single" w:sz="6" w:space="0" w:color="auto"/>
                                                                                                                        <w:right w:val="single" w:sz="6" w:space="0" w:color="auto"/>
                                                                                                                      </w:divBdr>
                                                                                                                      <w:divsChild>
                                                                                                                        <w:div w:id="881941680">
                                                                                                                          <w:marLeft w:val="0"/>
                                                                                                                          <w:marRight w:val="0"/>
                                                                                                                          <w:marTop w:val="0"/>
                                                                                                                          <w:marBottom w:val="0"/>
                                                                                                                          <w:divBdr>
                                                                                                                            <w:top w:val="none" w:sz="0" w:space="0" w:color="auto"/>
                                                                                                                            <w:left w:val="none" w:sz="0" w:space="0" w:color="auto"/>
                                                                                                                            <w:bottom w:val="none" w:sz="0" w:space="0" w:color="auto"/>
                                                                                                                            <w:right w:val="none" w:sz="0" w:space="0" w:color="auto"/>
                                                                                                                          </w:divBdr>
                                                                                                                          <w:divsChild>
                                                                                                                            <w:div w:id="1872261733">
                                                                                                                              <w:marLeft w:val="0"/>
                                                                                                                              <w:marRight w:val="0"/>
                                                                                                                              <w:marTop w:val="0"/>
                                                                                                                              <w:marBottom w:val="0"/>
                                                                                                                              <w:divBdr>
                                                                                                                                <w:top w:val="none" w:sz="0" w:space="0" w:color="auto"/>
                                                                                                                                <w:left w:val="none" w:sz="0" w:space="0" w:color="auto"/>
                                                                                                                                <w:bottom w:val="none" w:sz="0" w:space="0" w:color="auto"/>
                                                                                                                                <w:right w:val="none" w:sz="0" w:space="0" w:color="auto"/>
                                                                                                                              </w:divBdr>
                                                                                                                              <w:divsChild>
                                                                                                                                <w:div w:id="11921878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28562445">
                                                                                                                                      <w:marLeft w:val="0"/>
                                                                                                                                      <w:marRight w:val="0"/>
                                                                                                                                      <w:marTop w:val="0"/>
                                                                                                                                      <w:marBottom w:val="0"/>
                                                                                                                                      <w:divBdr>
                                                                                                                                        <w:top w:val="none" w:sz="0" w:space="0" w:color="auto"/>
                                                                                                                                        <w:left w:val="none" w:sz="0" w:space="0" w:color="auto"/>
                                                                                                                                        <w:bottom w:val="none" w:sz="0" w:space="0" w:color="auto"/>
                                                                                                                                        <w:right w:val="none" w:sz="0" w:space="0" w:color="auto"/>
                                                                                                                                      </w:divBdr>
                                                                                                                                      <w:divsChild>
                                                                                                                                        <w:div w:id="2053112666">
                                                                                                                                          <w:marLeft w:val="0"/>
                                                                                                                                          <w:marRight w:val="0"/>
                                                                                                                                          <w:marTop w:val="0"/>
                                                                                                                                          <w:marBottom w:val="0"/>
                                                                                                                                          <w:divBdr>
                                                                                                                                            <w:top w:val="none" w:sz="0" w:space="0" w:color="auto"/>
                                                                                                                                            <w:left w:val="none" w:sz="0" w:space="0" w:color="auto"/>
                                                                                                                                            <w:bottom w:val="none" w:sz="0" w:space="0" w:color="auto"/>
                                                                                                                                            <w:right w:val="none" w:sz="0" w:space="0" w:color="auto"/>
                                                                                                                                          </w:divBdr>
                                                                                                                                          <w:divsChild>
                                                                                                                                            <w:div w:id="20515691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0392006">
                                                                                                                                                  <w:marLeft w:val="0"/>
                                                                                                                                                  <w:marRight w:val="0"/>
                                                                                                                                                  <w:marTop w:val="0"/>
                                                                                                                                                  <w:marBottom w:val="0"/>
                                                                                                                                                  <w:divBdr>
                                                                                                                                                    <w:top w:val="none" w:sz="0" w:space="0" w:color="auto"/>
                                                                                                                                                    <w:left w:val="none" w:sz="0" w:space="0" w:color="auto"/>
                                                                                                                                                    <w:bottom w:val="none" w:sz="0" w:space="0" w:color="auto"/>
                                                                                                                                                    <w:right w:val="none" w:sz="0" w:space="0" w:color="auto"/>
                                                                                                                                                  </w:divBdr>
                                                                                                                                                  <w:divsChild>
                                                                                                                                                    <w:div w:id="125508728">
                                                                                                                                                      <w:marLeft w:val="0"/>
                                                                                                                                                      <w:marRight w:val="0"/>
                                                                                                                                                      <w:marTop w:val="0"/>
                                                                                                                                                      <w:marBottom w:val="0"/>
                                                                                                                                                      <w:divBdr>
                                                                                                                                                        <w:top w:val="none" w:sz="0" w:space="0" w:color="auto"/>
                                                                                                                                                        <w:left w:val="none" w:sz="0" w:space="0" w:color="auto"/>
                                                                                                                                                        <w:bottom w:val="none" w:sz="0" w:space="0" w:color="auto"/>
                                                                                                                                                        <w:right w:val="none" w:sz="0" w:space="0" w:color="auto"/>
                                                                                                                                                      </w:divBdr>
                                                                                                                                                      <w:divsChild>
                                                                                                                                                        <w:div w:id="158946480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3663687">
                                                                                                                                                              <w:marLeft w:val="0"/>
                                                                                                                                                              <w:marRight w:val="0"/>
                                                                                                                                                              <w:marTop w:val="0"/>
                                                                                                                                                              <w:marBottom w:val="0"/>
                                                                                                                                                              <w:divBdr>
                                                                                                                                                                <w:top w:val="none" w:sz="0" w:space="0" w:color="auto"/>
                                                                                                                                                                <w:left w:val="none" w:sz="0" w:space="0" w:color="auto"/>
                                                                                                                                                                <w:bottom w:val="none" w:sz="0" w:space="0" w:color="auto"/>
                                                                                                                                                                <w:right w:val="none" w:sz="0" w:space="0" w:color="auto"/>
                                                                                                                                                              </w:divBdr>
                                                                                                                                                              <w:divsChild>
                                                                                                                                                                <w:div w:id="1307971087">
                                                                                                                                                                  <w:marLeft w:val="0"/>
                                                                                                                                                                  <w:marRight w:val="0"/>
                                                                                                                                                                  <w:marTop w:val="0"/>
                                                                                                                                                                  <w:marBottom w:val="0"/>
                                                                                                                                                                  <w:divBdr>
                                                                                                                                                                    <w:top w:val="none" w:sz="0" w:space="0" w:color="auto"/>
                                                                                                                                                                    <w:left w:val="none" w:sz="0" w:space="0" w:color="auto"/>
                                                                                                                                                                    <w:bottom w:val="none" w:sz="0" w:space="0" w:color="auto"/>
                                                                                                                                                                    <w:right w:val="none" w:sz="0" w:space="0" w:color="auto"/>
                                                                                                                                                                  </w:divBdr>
                                                                                                                                                                  <w:divsChild>
                                                                                                                                                                    <w:div w:id="5881947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61988016">
                                                                                                                                                                          <w:marLeft w:val="0"/>
                                                                                                                                                                          <w:marRight w:val="0"/>
                                                                                                                                                                          <w:marTop w:val="0"/>
                                                                                                                                                                          <w:marBottom w:val="0"/>
                                                                                                                                                                          <w:divBdr>
                                                                                                                                                                            <w:top w:val="none" w:sz="0" w:space="0" w:color="auto"/>
                                                                                                                                                                            <w:left w:val="none" w:sz="0" w:space="0" w:color="auto"/>
                                                                                                                                                                            <w:bottom w:val="none" w:sz="0" w:space="0" w:color="auto"/>
                                                                                                                                                                            <w:right w:val="none" w:sz="0" w:space="0" w:color="auto"/>
                                                                                                                                                                          </w:divBdr>
                                                                                                                                                                          <w:divsChild>
                                                                                                                                                                            <w:div w:id="53628501">
                                                                                                                                                                              <w:marLeft w:val="0"/>
                                                                                                                                                                              <w:marRight w:val="0"/>
                                                                                                                                                                              <w:marTop w:val="0"/>
                                                                                                                                                                              <w:marBottom w:val="0"/>
                                                                                                                                                                              <w:divBdr>
                                                                                                                                                                                <w:top w:val="none" w:sz="0" w:space="0" w:color="auto"/>
                                                                                                                                                                                <w:left w:val="none" w:sz="0" w:space="0" w:color="auto"/>
                                                                                                                                                                                <w:bottom w:val="none" w:sz="0" w:space="0" w:color="auto"/>
                                                                                                                                                                                <w:right w:val="none" w:sz="0" w:space="0" w:color="auto"/>
                                                                                                                                                                              </w:divBdr>
                                                                                                                                                                              <w:divsChild>
                                                                                                                                                                                <w:div w:id="21332835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07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538280">
      <w:bodyDiv w:val="1"/>
      <w:marLeft w:val="0"/>
      <w:marRight w:val="0"/>
      <w:marTop w:val="0"/>
      <w:marBottom w:val="0"/>
      <w:divBdr>
        <w:top w:val="none" w:sz="0" w:space="0" w:color="auto"/>
        <w:left w:val="none" w:sz="0" w:space="0" w:color="auto"/>
        <w:bottom w:val="none" w:sz="0" w:space="0" w:color="auto"/>
        <w:right w:val="none" w:sz="0" w:space="0" w:color="auto"/>
      </w:divBdr>
    </w:div>
    <w:div w:id="1491363386">
      <w:bodyDiv w:val="1"/>
      <w:marLeft w:val="0"/>
      <w:marRight w:val="0"/>
      <w:marTop w:val="0"/>
      <w:marBottom w:val="0"/>
      <w:divBdr>
        <w:top w:val="none" w:sz="0" w:space="0" w:color="auto"/>
        <w:left w:val="none" w:sz="0" w:space="0" w:color="auto"/>
        <w:bottom w:val="none" w:sz="0" w:space="0" w:color="auto"/>
        <w:right w:val="none" w:sz="0" w:space="0" w:color="auto"/>
      </w:divBdr>
      <w:divsChild>
        <w:div w:id="1481114486">
          <w:marLeft w:val="0"/>
          <w:marRight w:val="0"/>
          <w:marTop w:val="0"/>
          <w:marBottom w:val="0"/>
          <w:divBdr>
            <w:top w:val="none" w:sz="0" w:space="0" w:color="auto"/>
            <w:left w:val="none" w:sz="0" w:space="0" w:color="auto"/>
            <w:bottom w:val="none" w:sz="0" w:space="0" w:color="auto"/>
            <w:right w:val="none" w:sz="0" w:space="0" w:color="auto"/>
          </w:divBdr>
          <w:divsChild>
            <w:div w:id="1728528581">
              <w:marLeft w:val="0"/>
              <w:marRight w:val="0"/>
              <w:marTop w:val="0"/>
              <w:marBottom w:val="0"/>
              <w:divBdr>
                <w:top w:val="none" w:sz="0" w:space="0" w:color="auto"/>
                <w:left w:val="none" w:sz="0" w:space="0" w:color="auto"/>
                <w:bottom w:val="none" w:sz="0" w:space="0" w:color="auto"/>
                <w:right w:val="none" w:sz="0" w:space="0" w:color="auto"/>
              </w:divBdr>
              <w:divsChild>
                <w:div w:id="1191646242">
                  <w:marLeft w:val="0"/>
                  <w:marRight w:val="0"/>
                  <w:marTop w:val="0"/>
                  <w:marBottom w:val="0"/>
                  <w:divBdr>
                    <w:top w:val="none" w:sz="0" w:space="0" w:color="auto"/>
                    <w:left w:val="none" w:sz="0" w:space="0" w:color="auto"/>
                    <w:bottom w:val="none" w:sz="0" w:space="0" w:color="auto"/>
                    <w:right w:val="none" w:sz="0" w:space="0" w:color="auto"/>
                  </w:divBdr>
                  <w:divsChild>
                    <w:div w:id="1735423159">
                      <w:marLeft w:val="0"/>
                      <w:marRight w:val="0"/>
                      <w:marTop w:val="0"/>
                      <w:marBottom w:val="0"/>
                      <w:divBdr>
                        <w:top w:val="none" w:sz="0" w:space="0" w:color="auto"/>
                        <w:left w:val="none" w:sz="0" w:space="0" w:color="auto"/>
                        <w:bottom w:val="none" w:sz="0" w:space="0" w:color="auto"/>
                        <w:right w:val="none" w:sz="0" w:space="0" w:color="auto"/>
                      </w:divBdr>
                      <w:divsChild>
                        <w:div w:id="1991707922">
                          <w:marLeft w:val="0"/>
                          <w:marRight w:val="0"/>
                          <w:marTop w:val="0"/>
                          <w:marBottom w:val="0"/>
                          <w:divBdr>
                            <w:top w:val="none" w:sz="0" w:space="0" w:color="auto"/>
                            <w:left w:val="none" w:sz="0" w:space="0" w:color="auto"/>
                            <w:bottom w:val="none" w:sz="0" w:space="0" w:color="auto"/>
                            <w:right w:val="none" w:sz="0" w:space="0" w:color="auto"/>
                          </w:divBdr>
                          <w:divsChild>
                            <w:div w:id="781612674">
                              <w:marLeft w:val="0"/>
                              <w:marRight w:val="0"/>
                              <w:marTop w:val="0"/>
                              <w:marBottom w:val="0"/>
                              <w:divBdr>
                                <w:top w:val="none" w:sz="0" w:space="0" w:color="auto"/>
                                <w:left w:val="none" w:sz="0" w:space="0" w:color="auto"/>
                                <w:bottom w:val="none" w:sz="0" w:space="0" w:color="auto"/>
                                <w:right w:val="none" w:sz="0" w:space="0" w:color="auto"/>
                              </w:divBdr>
                              <w:divsChild>
                                <w:div w:id="1712608063">
                                  <w:marLeft w:val="0"/>
                                  <w:marRight w:val="0"/>
                                  <w:marTop w:val="0"/>
                                  <w:marBottom w:val="0"/>
                                  <w:divBdr>
                                    <w:top w:val="none" w:sz="0" w:space="0" w:color="auto"/>
                                    <w:left w:val="none" w:sz="0" w:space="0" w:color="auto"/>
                                    <w:bottom w:val="none" w:sz="0" w:space="0" w:color="auto"/>
                                    <w:right w:val="none" w:sz="0" w:space="0" w:color="auto"/>
                                  </w:divBdr>
                                  <w:divsChild>
                                    <w:div w:id="935753222">
                                      <w:marLeft w:val="0"/>
                                      <w:marRight w:val="0"/>
                                      <w:marTop w:val="0"/>
                                      <w:marBottom w:val="0"/>
                                      <w:divBdr>
                                        <w:top w:val="none" w:sz="0" w:space="0" w:color="auto"/>
                                        <w:left w:val="none" w:sz="0" w:space="0" w:color="auto"/>
                                        <w:bottom w:val="none" w:sz="0" w:space="0" w:color="auto"/>
                                        <w:right w:val="none" w:sz="0" w:space="0" w:color="auto"/>
                                      </w:divBdr>
                                      <w:divsChild>
                                        <w:div w:id="1104961220">
                                          <w:marLeft w:val="0"/>
                                          <w:marRight w:val="0"/>
                                          <w:marTop w:val="0"/>
                                          <w:marBottom w:val="0"/>
                                          <w:divBdr>
                                            <w:top w:val="none" w:sz="0" w:space="0" w:color="auto"/>
                                            <w:left w:val="none" w:sz="0" w:space="0" w:color="auto"/>
                                            <w:bottom w:val="none" w:sz="0" w:space="0" w:color="auto"/>
                                            <w:right w:val="none" w:sz="0" w:space="0" w:color="auto"/>
                                          </w:divBdr>
                                          <w:divsChild>
                                            <w:div w:id="1171945569">
                                              <w:marLeft w:val="0"/>
                                              <w:marRight w:val="0"/>
                                              <w:marTop w:val="0"/>
                                              <w:marBottom w:val="0"/>
                                              <w:divBdr>
                                                <w:top w:val="single" w:sz="12" w:space="2" w:color="FFFFCC"/>
                                                <w:left w:val="single" w:sz="12" w:space="2" w:color="FFFFCC"/>
                                                <w:bottom w:val="single" w:sz="12" w:space="2" w:color="FFFFCC"/>
                                                <w:right w:val="single" w:sz="12" w:space="0" w:color="FFFFCC"/>
                                              </w:divBdr>
                                              <w:divsChild>
                                                <w:div w:id="188179702">
                                                  <w:marLeft w:val="0"/>
                                                  <w:marRight w:val="0"/>
                                                  <w:marTop w:val="0"/>
                                                  <w:marBottom w:val="0"/>
                                                  <w:divBdr>
                                                    <w:top w:val="none" w:sz="0" w:space="0" w:color="auto"/>
                                                    <w:left w:val="none" w:sz="0" w:space="0" w:color="auto"/>
                                                    <w:bottom w:val="none" w:sz="0" w:space="0" w:color="auto"/>
                                                    <w:right w:val="none" w:sz="0" w:space="0" w:color="auto"/>
                                                  </w:divBdr>
                                                  <w:divsChild>
                                                    <w:div w:id="635335882">
                                                      <w:marLeft w:val="0"/>
                                                      <w:marRight w:val="0"/>
                                                      <w:marTop w:val="0"/>
                                                      <w:marBottom w:val="0"/>
                                                      <w:divBdr>
                                                        <w:top w:val="none" w:sz="0" w:space="0" w:color="auto"/>
                                                        <w:left w:val="none" w:sz="0" w:space="0" w:color="auto"/>
                                                        <w:bottom w:val="none" w:sz="0" w:space="0" w:color="auto"/>
                                                        <w:right w:val="none" w:sz="0" w:space="0" w:color="auto"/>
                                                      </w:divBdr>
                                                      <w:divsChild>
                                                        <w:div w:id="169443214">
                                                          <w:marLeft w:val="0"/>
                                                          <w:marRight w:val="0"/>
                                                          <w:marTop w:val="0"/>
                                                          <w:marBottom w:val="0"/>
                                                          <w:divBdr>
                                                            <w:top w:val="none" w:sz="0" w:space="0" w:color="auto"/>
                                                            <w:left w:val="none" w:sz="0" w:space="0" w:color="auto"/>
                                                            <w:bottom w:val="none" w:sz="0" w:space="0" w:color="auto"/>
                                                            <w:right w:val="none" w:sz="0" w:space="0" w:color="auto"/>
                                                          </w:divBdr>
                                                          <w:divsChild>
                                                            <w:div w:id="1704134323">
                                                              <w:marLeft w:val="0"/>
                                                              <w:marRight w:val="0"/>
                                                              <w:marTop w:val="0"/>
                                                              <w:marBottom w:val="0"/>
                                                              <w:divBdr>
                                                                <w:top w:val="none" w:sz="0" w:space="0" w:color="auto"/>
                                                                <w:left w:val="none" w:sz="0" w:space="0" w:color="auto"/>
                                                                <w:bottom w:val="none" w:sz="0" w:space="0" w:color="auto"/>
                                                                <w:right w:val="none" w:sz="0" w:space="0" w:color="auto"/>
                                                              </w:divBdr>
                                                              <w:divsChild>
                                                                <w:div w:id="1245526920">
                                                                  <w:marLeft w:val="0"/>
                                                                  <w:marRight w:val="0"/>
                                                                  <w:marTop w:val="0"/>
                                                                  <w:marBottom w:val="0"/>
                                                                  <w:divBdr>
                                                                    <w:top w:val="none" w:sz="0" w:space="0" w:color="auto"/>
                                                                    <w:left w:val="none" w:sz="0" w:space="0" w:color="auto"/>
                                                                    <w:bottom w:val="none" w:sz="0" w:space="0" w:color="auto"/>
                                                                    <w:right w:val="none" w:sz="0" w:space="0" w:color="auto"/>
                                                                  </w:divBdr>
                                                                  <w:divsChild>
                                                                    <w:div w:id="697658849">
                                                                      <w:marLeft w:val="0"/>
                                                                      <w:marRight w:val="0"/>
                                                                      <w:marTop w:val="0"/>
                                                                      <w:marBottom w:val="0"/>
                                                                      <w:divBdr>
                                                                        <w:top w:val="none" w:sz="0" w:space="0" w:color="auto"/>
                                                                        <w:left w:val="none" w:sz="0" w:space="0" w:color="auto"/>
                                                                        <w:bottom w:val="none" w:sz="0" w:space="0" w:color="auto"/>
                                                                        <w:right w:val="none" w:sz="0" w:space="0" w:color="auto"/>
                                                                      </w:divBdr>
                                                                      <w:divsChild>
                                                                        <w:div w:id="147597473">
                                                                          <w:marLeft w:val="0"/>
                                                                          <w:marRight w:val="0"/>
                                                                          <w:marTop w:val="0"/>
                                                                          <w:marBottom w:val="0"/>
                                                                          <w:divBdr>
                                                                            <w:top w:val="none" w:sz="0" w:space="0" w:color="auto"/>
                                                                            <w:left w:val="none" w:sz="0" w:space="0" w:color="auto"/>
                                                                            <w:bottom w:val="none" w:sz="0" w:space="0" w:color="auto"/>
                                                                            <w:right w:val="none" w:sz="0" w:space="0" w:color="auto"/>
                                                                          </w:divBdr>
                                                                          <w:divsChild>
                                                                            <w:div w:id="1257523499">
                                                                              <w:marLeft w:val="0"/>
                                                                              <w:marRight w:val="0"/>
                                                                              <w:marTop w:val="0"/>
                                                                              <w:marBottom w:val="0"/>
                                                                              <w:divBdr>
                                                                                <w:top w:val="none" w:sz="0" w:space="0" w:color="auto"/>
                                                                                <w:left w:val="none" w:sz="0" w:space="0" w:color="auto"/>
                                                                                <w:bottom w:val="none" w:sz="0" w:space="0" w:color="auto"/>
                                                                                <w:right w:val="none" w:sz="0" w:space="0" w:color="auto"/>
                                                                              </w:divBdr>
                                                                              <w:divsChild>
                                                                                <w:div w:id="131754824">
                                                                                  <w:marLeft w:val="0"/>
                                                                                  <w:marRight w:val="0"/>
                                                                                  <w:marTop w:val="0"/>
                                                                                  <w:marBottom w:val="0"/>
                                                                                  <w:divBdr>
                                                                                    <w:top w:val="none" w:sz="0" w:space="0" w:color="auto"/>
                                                                                    <w:left w:val="none" w:sz="0" w:space="0" w:color="auto"/>
                                                                                    <w:bottom w:val="none" w:sz="0" w:space="0" w:color="auto"/>
                                                                                    <w:right w:val="none" w:sz="0" w:space="0" w:color="auto"/>
                                                                                  </w:divBdr>
                                                                                  <w:divsChild>
                                                                                    <w:div w:id="1708751937">
                                                                                      <w:marLeft w:val="0"/>
                                                                                      <w:marRight w:val="0"/>
                                                                                      <w:marTop w:val="0"/>
                                                                                      <w:marBottom w:val="0"/>
                                                                                      <w:divBdr>
                                                                                        <w:top w:val="none" w:sz="0" w:space="0" w:color="auto"/>
                                                                                        <w:left w:val="none" w:sz="0" w:space="0" w:color="auto"/>
                                                                                        <w:bottom w:val="none" w:sz="0" w:space="0" w:color="auto"/>
                                                                                        <w:right w:val="none" w:sz="0" w:space="0" w:color="auto"/>
                                                                                      </w:divBdr>
                                                                                      <w:divsChild>
                                                                                        <w:div w:id="32386804">
                                                                                          <w:marLeft w:val="0"/>
                                                                                          <w:marRight w:val="120"/>
                                                                                          <w:marTop w:val="0"/>
                                                                                          <w:marBottom w:val="150"/>
                                                                                          <w:divBdr>
                                                                                            <w:top w:val="single" w:sz="2" w:space="0" w:color="EFEFEF"/>
                                                                                            <w:left w:val="single" w:sz="6" w:space="0" w:color="EFEFEF"/>
                                                                                            <w:bottom w:val="single" w:sz="6" w:space="0" w:color="E2E2E2"/>
                                                                                            <w:right w:val="single" w:sz="6" w:space="0" w:color="EFEFEF"/>
                                                                                          </w:divBdr>
                                                                                          <w:divsChild>
                                                                                            <w:div w:id="448857832">
                                                                                              <w:marLeft w:val="0"/>
                                                                                              <w:marRight w:val="0"/>
                                                                                              <w:marTop w:val="0"/>
                                                                                              <w:marBottom w:val="0"/>
                                                                                              <w:divBdr>
                                                                                                <w:top w:val="none" w:sz="0" w:space="0" w:color="auto"/>
                                                                                                <w:left w:val="none" w:sz="0" w:space="0" w:color="auto"/>
                                                                                                <w:bottom w:val="none" w:sz="0" w:space="0" w:color="auto"/>
                                                                                                <w:right w:val="none" w:sz="0" w:space="0" w:color="auto"/>
                                                                                              </w:divBdr>
                                                                                              <w:divsChild>
                                                                                                <w:div w:id="9725860">
                                                                                                  <w:marLeft w:val="0"/>
                                                                                                  <w:marRight w:val="0"/>
                                                                                                  <w:marTop w:val="0"/>
                                                                                                  <w:marBottom w:val="0"/>
                                                                                                  <w:divBdr>
                                                                                                    <w:top w:val="none" w:sz="0" w:space="0" w:color="auto"/>
                                                                                                    <w:left w:val="none" w:sz="0" w:space="0" w:color="auto"/>
                                                                                                    <w:bottom w:val="none" w:sz="0" w:space="0" w:color="auto"/>
                                                                                                    <w:right w:val="none" w:sz="0" w:space="0" w:color="auto"/>
                                                                                                  </w:divBdr>
                                                                                                  <w:divsChild>
                                                                                                    <w:div w:id="970328191">
                                                                                                      <w:marLeft w:val="0"/>
                                                                                                      <w:marRight w:val="0"/>
                                                                                                      <w:marTop w:val="0"/>
                                                                                                      <w:marBottom w:val="0"/>
                                                                                                      <w:divBdr>
                                                                                                        <w:top w:val="none" w:sz="0" w:space="0" w:color="auto"/>
                                                                                                        <w:left w:val="none" w:sz="0" w:space="0" w:color="auto"/>
                                                                                                        <w:bottom w:val="none" w:sz="0" w:space="0" w:color="auto"/>
                                                                                                        <w:right w:val="none" w:sz="0" w:space="0" w:color="auto"/>
                                                                                                      </w:divBdr>
                                                                                                      <w:divsChild>
                                                                                                        <w:div w:id="320280139">
                                                                                                          <w:marLeft w:val="0"/>
                                                                                                          <w:marRight w:val="0"/>
                                                                                                          <w:marTop w:val="0"/>
                                                                                                          <w:marBottom w:val="0"/>
                                                                                                          <w:divBdr>
                                                                                                            <w:top w:val="none" w:sz="0" w:space="0" w:color="auto"/>
                                                                                                            <w:left w:val="none" w:sz="0" w:space="0" w:color="auto"/>
                                                                                                            <w:bottom w:val="none" w:sz="0" w:space="0" w:color="auto"/>
                                                                                                            <w:right w:val="none" w:sz="0" w:space="0" w:color="auto"/>
                                                                                                          </w:divBdr>
                                                                                                          <w:divsChild>
                                                                                                            <w:div w:id="1368917923">
                                                                                                              <w:marLeft w:val="0"/>
                                                                                                              <w:marRight w:val="0"/>
                                                                                                              <w:marTop w:val="0"/>
                                                                                                              <w:marBottom w:val="0"/>
                                                                                                              <w:divBdr>
                                                                                                                <w:top w:val="single" w:sz="2" w:space="4" w:color="D8D8D8"/>
                                                                                                                <w:left w:val="single" w:sz="2" w:space="0" w:color="D8D8D8"/>
                                                                                                                <w:bottom w:val="single" w:sz="2" w:space="4" w:color="D8D8D8"/>
                                                                                                                <w:right w:val="single" w:sz="2" w:space="0" w:color="D8D8D8"/>
                                                                                                              </w:divBdr>
                                                                                                              <w:divsChild>
                                                                                                                <w:div w:id="1432969495">
                                                                                                                  <w:marLeft w:val="225"/>
                                                                                                                  <w:marRight w:val="225"/>
                                                                                                                  <w:marTop w:val="75"/>
                                                                                                                  <w:marBottom w:val="75"/>
                                                                                                                  <w:divBdr>
                                                                                                                    <w:top w:val="none" w:sz="0" w:space="0" w:color="auto"/>
                                                                                                                    <w:left w:val="none" w:sz="0" w:space="0" w:color="auto"/>
                                                                                                                    <w:bottom w:val="none" w:sz="0" w:space="0" w:color="auto"/>
                                                                                                                    <w:right w:val="none" w:sz="0" w:space="0" w:color="auto"/>
                                                                                                                  </w:divBdr>
                                                                                                                  <w:divsChild>
                                                                                                                    <w:div w:id="236476091">
                                                                                                                      <w:marLeft w:val="0"/>
                                                                                                                      <w:marRight w:val="0"/>
                                                                                                                      <w:marTop w:val="0"/>
                                                                                                                      <w:marBottom w:val="0"/>
                                                                                                                      <w:divBdr>
                                                                                                                        <w:top w:val="single" w:sz="6" w:space="0" w:color="auto"/>
                                                                                                                        <w:left w:val="single" w:sz="6" w:space="0" w:color="auto"/>
                                                                                                                        <w:bottom w:val="single" w:sz="6" w:space="0" w:color="auto"/>
                                                                                                                        <w:right w:val="single" w:sz="6" w:space="0" w:color="auto"/>
                                                                                                                      </w:divBdr>
                                                                                                                      <w:divsChild>
                                                                                                                        <w:div w:id="1892308628">
                                                                                                                          <w:marLeft w:val="0"/>
                                                                                                                          <w:marRight w:val="0"/>
                                                                                                                          <w:marTop w:val="0"/>
                                                                                                                          <w:marBottom w:val="0"/>
                                                                                                                          <w:divBdr>
                                                                                                                            <w:top w:val="none" w:sz="0" w:space="0" w:color="auto"/>
                                                                                                                            <w:left w:val="none" w:sz="0" w:space="0" w:color="auto"/>
                                                                                                                            <w:bottom w:val="none" w:sz="0" w:space="0" w:color="auto"/>
                                                                                                                            <w:right w:val="none" w:sz="0" w:space="0" w:color="auto"/>
                                                                                                                          </w:divBdr>
                                                                                                                          <w:divsChild>
                                                                                                                            <w:div w:id="1095246279">
                                                                                                                              <w:marLeft w:val="0"/>
                                                                                                                              <w:marRight w:val="0"/>
                                                                                                                              <w:marTop w:val="0"/>
                                                                                                                              <w:marBottom w:val="0"/>
                                                                                                                              <w:divBdr>
                                                                                                                                <w:top w:val="none" w:sz="0" w:space="0" w:color="auto"/>
                                                                                                                                <w:left w:val="none" w:sz="0" w:space="0" w:color="auto"/>
                                                                                                                                <w:bottom w:val="none" w:sz="0" w:space="0" w:color="auto"/>
                                                                                                                                <w:right w:val="none" w:sz="0" w:space="0" w:color="auto"/>
                                                                                                                              </w:divBdr>
                                                                                                                              <w:divsChild>
                                                                                                                                <w:div w:id="9610377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5868899">
                                                                                                                                      <w:marLeft w:val="0"/>
                                                                                                                                      <w:marRight w:val="0"/>
                                                                                                                                      <w:marTop w:val="0"/>
                                                                                                                                      <w:marBottom w:val="0"/>
                                                                                                                                      <w:divBdr>
                                                                                                                                        <w:top w:val="none" w:sz="0" w:space="0" w:color="auto"/>
                                                                                                                                        <w:left w:val="none" w:sz="0" w:space="0" w:color="auto"/>
                                                                                                                                        <w:bottom w:val="none" w:sz="0" w:space="0" w:color="auto"/>
                                                                                                                                        <w:right w:val="none" w:sz="0" w:space="0" w:color="auto"/>
                                                                                                                                      </w:divBdr>
                                                                                                                                      <w:divsChild>
                                                                                                                                        <w:div w:id="1654138941">
                                                                                                                                          <w:marLeft w:val="0"/>
                                                                                                                                          <w:marRight w:val="0"/>
                                                                                                                                          <w:marTop w:val="0"/>
                                                                                                                                          <w:marBottom w:val="0"/>
                                                                                                                                          <w:divBdr>
                                                                                                                                            <w:top w:val="none" w:sz="0" w:space="0" w:color="auto"/>
                                                                                                                                            <w:left w:val="none" w:sz="0" w:space="0" w:color="auto"/>
                                                                                                                                            <w:bottom w:val="none" w:sz="0" w:space="0" w:color="auto"/>
                                                                                                                                            <w:right w:val="none" w:sz="0" w:space="0" w:color="auto"/>
                                                                                                                                          </w:divBdr>
                                                                                                                                          <w:divsChild>
                                                                                                                                            <w:div w:id="9759124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8163481">
                                                                                                                                                  <w:marLeft w:val="0"/>
                                                                                                                                                  <w:marRight w:val="0"/>
                                                                                                                                                  <w:marTop w:val="0"/>
                                                                                                                                                  <w:marBottom w:val="0"/>
                                                                                                                                                  <w:divBdr>
                                                                                                                                                    <w:top w:val="none" w:sz="0" w:space="0" w:color="auto"/>
                                                                                                                                                    <w:left w:val="none" w:sz="0" w:space="0" w:color="auto"/>
                                                                                                                                                    <w:bottom w:val="none" w:sz="0" w:space="0" w:color="auto"/>
                                                                                                                                                    <w:right w:val="none" w:sz="0" w:space="0" w:color="auto"/>
                                                                                                                                                  </w:divBdr>
                                                                                                                                                  <w:divsChild>
                                                                                                                                                    <w:div w:id="1470895936">
                                                                                                                                                      <w:marLeft w:val="0"/>
                                                                                                                                                      <w:marRight w:val="0"/>
                                                                                                                                                      <w:marTop w:val="0"/>
                                                                                                                                                      <w:marBottom w:val="0"/>
                                                                                                                                                      <w:divBdr>
                                                                                                                                                        <w:top w:val="none" w:sz="0" w:space="0" w:color="auto"/>
                                                                                                                                                        <w:left w:val="none" w:sz="0" w:space="0" w:color="auto"/>
                                                                                                                                                        <w:bottom w:val="none" w:sz="0" w:space="0" w:color="auto"/>
                                                                                                                                                        <w:right w:val="none" w:sz="0" w:space="0" w:color="auto"/>
                                                                                                                                                      </w:divBdr>
                                                                                                                                                      <w:divsChild>
                                                                                                                                                        <w:div w:id="20162963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8704431">
                                                                                                                                                              <w:marLeft w:val="0"/>
                                                                                                                                                              <w:marRight w:val="0"/>
                                                                                                                                                              <w:marTop w:val="0"/>
                                                                                                                                                              <w:marBottom w:val="0"/>
                                                                                                                                                              <w:divBdr>
                                                                                                                                                                <w:top w:val="none" w:sz="0" w:space="0" w:color="auto"/>
                                                                                                                                                                <w:left w:val="none" w:sz="0" w:space="0" w:color="auto"/>
                                                                                                                                                                <w:bottom w:val="none" w:sz="0" w:space="0" w:color="auto"/>
                                                                                                                                                                <w:right w:val="none" w:sz="0" w:space="0" w:color="auto"/>
                                                                                                                                                              </w:divBdr>
                                                                                                                                                              <w:divsChild>
                                                                                                                                                                <w:div w:id="235405326">
                                                                                                                                                                  <w:marLeft w:val="0"/>
                                                                                                                                                                  <w:marRight w:val="0"/>
                                                                                                                                                                  <w:marTop w:val="0"/>
                                                                                                                                                                  <w:marBottom w:val="0"/>
                                                                                                                                                                  <w:divBdr>
                                                                                                                                                                    <w:top w:val="none" w:sz="0" w:space="0" w:color="auto"/>
                                                                                                                                                                    <w:left w:val="none" w:sz="0" w:space="0" w:color="auto"/>
                                                                                                                                                                    <w:bottom w:val="none" w:sz="0" w:space="0" w:color="auto"/>
                                                                                                                                                                    <w:right w:val="none" w:sz="0" w:space="0" w:color="auto"/>
                                                                                                                                                                  </w:divBdr>
                                                                                                                                                                  <w:divsChild>
                                                                                                                                                                    <w:div w:id="13539906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74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605299">
      <w:bodyDiv w:val="1"/>
      <w:marLeft w:val="0"/>
      <w:marRight w:val="0"/>
      <w:marTop w:val="0"/>
      <w:marBottom w:val="0"/>
      <w:divBdr>
        <w:top w:val="none" w:sz="0" w:space="0" w:color="auto"/>
        <w:left w:val="none" w:sz="0" w:space="0" w:color="auto"/>
        <w:bottom w:val="none" w:sz="0" w:space="0" w:color="auto"/>
        <w:right w:val="none" w:sz="0" w:space="0" w:color="auto"/>
      </w:divBdr>
    </w:div>
    <w:div w:id="2112163754">
      <w:bodyDiv w:val="1"/>
      <w:marLeft w:val="0"/>
      <w:marRight w:val="0"/>
      <w:marTop w:val="0"/>
      <w:marBottom w:val="0"/>
      <w:divBdr>
        <w:top w:val="none" w:sz="0" w:space="0" w:color="auto"/>
        <w:left w:val="none" w:sz="0" w:space="0" w:color="auto"/>
        <w:bottom w:val="none" w:sz="0" w:space="0" w:color="auto"/>
        <w:right w:val="none" w:sz="0" w:space="0" w:color="auto"/>
      </w:divBdr>
    </w:div>
    <w:div w:id="212337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Planilha_do_Microsoft_Office_Excel1.xlsx"/><Relationship Id="rId13" Type="http://schemas.openxmlformats.org/officeDocument/2006/relationships/package" Target="embeddings/Planilha_do_Microsoft_Office_Excel3.xlsx"/><Relationship Id="rId18" Type="http://schemas.openxmlformats.org/officeDocument/2006/relationships/image" Target="media/image7.jpeg"/><Relationship Id="rId26" Type="http://schemas.openxmlformats.org/officeDocument/2006/relationships/hyperlink" Target="http://www.ncbi.nlm.nih.gov/pubmed/?term=Oshita%20K%5BAuthor%5D&amp;cauthor=true&amp;cauthor_uid=19467557"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package" Target="embeddings/Planilha_do_Microsoft_Office_Excel5.xlsx"/><Relationship Id="rId25" Type="http://schemas.openxmlformats.org/officeDocument/2006/relationships/hyperlink" Target="http://www.ncbi.nlm.nih.gov/pubmed/?term=Takaoka%20M%5BAuthor%5D&amp;cauthor=true&amp;cauthor_uid=19467557"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Planilha_do_Microsoft_Office_Excel2.xlsx"/><Relationship Id="rId24" Type="http://schemas.openxmlformats.org/officeDocument/2006/relationships/hyperlink" Target="http://www.ncbi.nlm.nih.gov/pubmed/?term=Hashimoto%20Y%5BAuthor%5D&amp;cauthor=true&amp;cauthor_uid=19467557" TargetMode="External"/><Relationship Id="rId5" Type="http://schemas.openxmlformats.org/officeDocument/2006/relationships/footnotes" Target="footnotes.xml"/><Relationship Id="rId15" Type="http://schemas.openxmlformats.org/officeDocument/2006/relationships/package" Target="embeddings/Planilha_do_Microsoft_Office_Excel4.xlsx"/><Relationship Id="rId23" Type="http://schemas.openxmlformats.org/officeDocument/2006/relationships/image" Target="media/image12.jpeg"/><Relationship Id="rId28" Type="http://schemas.openxmlformats.org/officeDocument/2006/relationships/hyperlink" Target="http://www.ncbi.nlm.nih.gov/pubmed/19467557" TargetMode="Externa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hyperlink" Target="http://www.ncbi.nlm.nih.gov/pubmed/?term=Tanida%20H%5BAuthor%5D&amp;cauthor=true&amp;cauthor_uid=19467557"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4979</Words>
  <Characters>28385</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UNIVERSIDADE FEDERAL DO PARANÁ</vt:lpstr>
    </vt:vector>
  </TitlesOfParts>
  <Company>IBGE</Company>
  <LinksUpToDate>false</LinksUpToDate>
  <CharactersWithSpaces>33298</CharactersWithSpaces>
  <SharedDoc>false</SharedDoc>
  <HLinks>
    <vt:vector size="402" baseType="variant">
      <vt:variant>
        <vt:i4>3080237</vt:i4>
      </vt:variant>
      <vt:variant>
        <vt:i4>426</vt:i4>
      </vt:variant>
      <vt:variant>
        <vt:i4>0</vt:i4>
      </vt:variant>
      <vt:variant>
        <vt:i4>5</vt:i4>
      </vt:variant>
      <vt:variant>
        <vt:lpwstr>http://lattes.cnpq.br/4155457009996105</vt:lpwstr>
      </vt:variant>
      <vt:variant>
        <vt:lpwstr/>
      </vt:variant>
      <vt:variant>
        <vt:i4>2424873</vt:i4>
      </vt:variant>
      <vt:variant>
        <vt:i4>423</vt:i4>
      </vt:variant>
      <vt:variant>
        <vt:i4>0</vt:i4>
      </vt:variant>
      <vt:variant>
        <vt:i4>5</vt:i4>
      </vt:variant>
      <vt:variant>
        <vt:lpwstr>http://lattes.cnpq.br/3836314257022592</vt:lpwstr>
      </vt:variant>
      <vt:variant>
        <vt:lpwstr/>
      </vt:variant>
      <vt:variant>
        <vt:i4>3604524</vt:i4>
      </vt:variant>
      <vt:variant>
        <vt:i4>402</vt:i4>
      </vt:variant>
      <vt:variant>
        <vt:i4>0</vt:i4>
      </vt:variant>
      <vt:variant>
        <vt:i4>5</vt:i4>
      </vt:variant>
      <vt:variant>
        <vt:lpwstr>http://www.ncbi.nlm.nih.gov/pubmed/19467557</vt:lpwstr>
      </vt:variant>
      <vt:variant>
        <vt:lpwstr/>
      </vt:variant>
      <vt:variant>
        <vt:i4>1900656</vt:i4>
      </vt:variant>
      <vt:variant>
        <vt:i4>399</vt:i4>
      </vt:variant>
      <vt:variant>
        <vt:i4>0</vt:i4>
      </vt:variant>
      <vt:variant>
        <vt:i4>5</vt:i4>
      </vt:variant>
      <vt:variant>
        <vt:lpwstr>http://www.ncbi.nlm.nih.gov/pubmed/?term=Tanida%20H%5BAuthor%5D&amp;cauthor=true&amp;cauthor_uid=19467557</vt:lpwstr>
      </vt:variant>
      <vt:variant>
        <vt:lpwstr/>
      </vt:variant>
      <vt:variant>
        <vt:i4>1048673</vt:i4>
      </vt:variant>
      <vt:variant>
        <vt:i4>396</vt:i4>
      </vt:variant>
      <vt:variant>
        <vt:i4>0</vt:i4>
      </vt:variant>
      <vt:variant>
        <vt:i4>5</vt:i4>
      </vt:variant>
      <vt:variant>
        <vt:lpwstr>http://www.ncbi.nlm.nih.gov/pubmed/?term=Oshita%20K%5BAuthor%5D&amp;cauthor=true&amp;cauthor_uid=19467557</vt:lpwstr>
      </vt:variant>
      <vt:variant>
        <vt:lpwstr/>
      </vt:variant>
      <vt:variant>
        <vt:i4>1048610</vt:i4>
      </vt:variant>
      <vt:variant>
        <vt:i4>393</vt:i4>
      </vt:variant>
      <vt:variant>
        <vt:i4>0</vt:i4>
      </vt:variant>
      <vt:variant>
        <vt:i4>5</vt:i4>
      </vt:variant>
      <vt:variant>
        <vt:lpwstr>http://www.ncbi.nlm.nih.gov/pubmed/?term=Takaoka%20M%5BAuthor%5D&amp;cauthor=true&amp;cauthor_uid=19467557</vt:lpwstr>
      </vt:variant>
      <vt:variant>
        <vt:lpwstr/>
      </vt:variant>
      <vt:variant>
        <vt:i4>6750297</vt:i4>
      </vt:variant>
      <vt:variant>
        <vt:i4>390</vt:i4>
      </vt:variant>
      <vt:variant>
        <vt:i4>0</vt:i4>
      </vt:variant>
      <vt:variant>
        <vt:i4>5</vt:i4>
      </vt:variant>
      <vt:variant>
        <vt:lpwstr>http://www.ncbi.nlm.nih.gov/pubmed/?term=Hashimoto%20Y%5BAuthor%5D&amp;cauthor=true&amp;cauthor_uid=19467557</vt:lpwstr>
      </vt:variant>
      <vt:variant>
        <vt:lpwstr/>
      </vt:variant>
      <vt:variant>
        <vt:i4>3604524</vt:i4>
      </vt:variant>
      <vt:variant>
        <vt:i4>372</vt:i4>
      </vt:variant>
      <vt:variant>
        <vt:i4>0</vt:i4>
      </vt:variant>
      <vt:variant>
        <vt:i4>5</vt:i4>
      </vt:variant>
      <vt:variant>
        <vt:lpwstr>http://www.ncbi.nlm.nih.gov/pubmed/19467557</vt:lpwstr>
      </vt:variant>
      <vt:variant>
        <vt:lpwstr/>
      </vt:variant>
      <vt:variant>
        <vt:i4>1900656</vt:i4>
      </vt:variant>
      <vt:variant>
        <vt:i4>369</vt:i4>
      </vt:variant>
      <vt:variant>
        <vt:i4>0</vt:i4>
      </vt:variant>
      <vt:variant>
        <vt:i4>5</vt:i4>
      </vt:variant>
      <vt:variant>
        <vt:lpwstr>http://www.ncbi.nlm.nih.gov/pubmed/?term=Tanida%20H%5BAuthor%5D&amp;cauthor=true&amp;cauthor_uid=19467557</vt:lpwstr>
      </vt:variant>
      <vt:variant>
        <vt:lpwstr/>
      </vt:variant>
      <vt:variant>
        <vt:i4>1048673</vt:i4>
      </vt:variant>
      <vt:variant>
        <vt:i4>366</vt:i4>
      </vt:variant>
      <vt:variant>
        <vt:i4>0</vt:i4>
      </vt:variant>
      <vt:variant>
        <vt:i4>5</vt:i4>
      </vt:variant>
      <vt:variant>
        <vt:lpwstr>http://www.ncbi.nlm.nih.gov/pubmed/?term=Oshita%20K%5BAuthor%5D&amp;cauthor=true&amp;cauthor_uid=19467557</vt:lpwstr>
      </vt:variant>
      <vt:variant>
        <vt:lpwstr/>
      </vt:variant>
      <vt:variant>
        <vt:i4>1048610</vt:i4>
      </vt:variant>
      <vt:variant>
        <vt:i4>363</vt:i4>
      </vt:variant>
      <vt:variant>
        <vt:i4>0</vt:i4>
      </vt:variant>
      <vt:variant>
        <vt:i4>5</vt:i4>
      </vt:variant>
      <vt:variant>
        <vt:lpwstr>http://www.ncbi.nlm.nih.gov/pubmed/?term=Takaoka%20M%5BAuthor%5D&amp;cauthor=true&amp;cauthor_uid=19467557</vt:lpwstr>
      </vt:variant>
      <vt:variant>
        <vt:lpwstr/>
      </vt:variant>
      <vt:variant>
        <vt:i4>6750297</vt:i4>
      </vt:variant>
      <vt:variant>
        <vt:i4>360</vt:i4>
      </vt:variant>
      <vt:variant>
        <vt:i4>0</vt:i4>
      </vt:variant>
      <vt:variant>
        <vt:i4>5</vt:i4>
      </vt:variant>
      <vt:variant>
        <vt:lpwstr>http://www.ncbi.nlm.nih.gov/pubmed/?term=Hashimoto%20Y%5BAuthor%5D&amp;cauthor=true&amp;cauthor_uid=19467557</vt:lpwstr>
      </vt:variant>
      <vt:variant>
        <vt:lpwstr/>
      </vt:variant>
      <vt:variant>
        <vt:i4>7471220</vt:i4>
      </vt:variant>
      <vt:variant>
        <vt:i4>357</vt:i4>
      </vt:variant>
      <vt:variant>
        <vt:i4>0</vt:i4>
      </vt:variant>
      <vt:variant>
        <vt:i4>5</vt:i4>
      </vt:variant>
      <vt:variant>
        <vt:lpwstr>http://www.sciencedirect.com/science/article/pii/S0016703797001245</vt:lpwstr>
      </vt:variant>
      <vt:variant>
        <vt:lpwstr>AFF1</vt:lpwstr>
      </vt:variant>
      <vt:variant>
        <vt:i4>7864372</vt:i4>
      </vt:variant>
      <vt:variant>
        <vt:i4>354</vt:i4>
      </vt:variant>
      <vt:variant>
        <vt:i4>0</vt:i4>
      </vt:variant>
      <vt:variant>
        <vt:i4>5</vt:i4>
      </vt:variant>
      <vt:variant>
        <vt:lpwstr>http://www.assistat.com/index.html</vt:lpwstr>
      </vt:variant>
      <vt:variant>
        <vt:lpwstr/>
      </vt:variant>
      <vt:variant>
        <vt:i4>7471220</vt:i4>
      </vt:variant>
      <vt:variant>
        <vt:i4>315</vt:i4>
      </vt:variant>
      <vt:variant>
        <vt:i4>0</vt:i4>
      </vt:variant>
      <vt:variant>
        <vt:i4>5</vt:i4>
      </vt:variant>
      <vt:variant>
        <vt:lpwstr>http://www.sciencedirect.com/science/article/pii/S0016703797001245</vt:lpwstr>
      </vt:variant>
      <vt:variant>
        <vt:lpwstr>AFF1</vt:lpwstr>
      </vt:variant>
      <vt:variant>
        <vt:i4>1179698</vt:i4>
      </vt:variant>
      <vt:variant>
        <vt:i4>308</vt:i4>
      </vt:variant>
      <vt:variant>
        <vt:i4>0</vt:i4>
      </vt:variant>
      <vt:variant>
        <vt:i4>5</vt:i4>
      </vt:variant>
      <vt:variant>
        <vt:lpwstr/>
      </vt:variant>
      <vt:variant>
        <vt:lpwstr>_Toc443247148</vt:lpwstr>
      </vt:variant>
      <vt:variant>
        <vt:i4>1179698</vt:i4>
      </vt:variant>
      <vt:variant>
        <vt:i4>302</vt:i4>
      </vt:variant>
      <vt:variant>
        <vt:i4>0</vt:i4>
      </vt:variant>
      <vt:variant>
        <vt:i4>5</vt:i4>
      </vt:variant>
      <vt:variant>
        <vt:lpwstr/>
      </vt:variant>
      <vt:variant>
        <vt:lpwstr>_Toc443247147</vt:lpwstr>
      </vt:variant>
      <vt:variant>
        <vt:i4>1179698</vt:i4>
      </vt:variant>
      <vt:variant>
        <vt:i4>296</vt:i4>
      </vt:variant>
      <vt:variant>
        <vt:i4>0</vt:i4>
      </vt:variant>
      <vt:variant>
        <vt:i4>5</vt:i4>
      </vt:variant>
      <vt:variant>
        <vt:lpwstr/>
      </vt:variant>
      <vt:variant>
        <vt:lpwstr>_Toc443247146</vt:lpwstr>
      </vt:variant>
      <vt:variant>
        <vt:i4>1179698</vt:i4>
      </vt:variant>
      <vt:variant>
        <vt:i4>290</vt:i4>
      </vt:variant>
      <vt:variant>
        <vt:i4>0</vt:i4>
      </vt:variant>
      <vt:variant>
        <vt:i4>5</vt:i4>
      </vt:variant>
      <vt:variant>
        <vt:lpwstr/>
      </vt:variant>
      <vt:variant>
        <vt:lpwstr>_Toc443247145</vt:lpwstr>
      </vt:variant>
      <vt:variant>
        <vt:i4>1179698</vt:i4>
      </vt:variant>
      <vt:variant>
        <vt:i4>284</vt:i4>
      </vt:variant>
      <vt:variant>
        <vt:i4>0</vt:i4>
      </vt:variant>
      <vt:variant>
        <vt:i4>5</vt:i4>
      </vt:variant>
      <vt:variant>
        <vt:lpwstr/>
      </vt:variant>
      <vt:variant>
        <vt:lpwstr>_Toc443247144</vt:lpwstr>
      </vt:variant>
      <vt:variant>
        <vt:i4>1179698</vt:i4>
      </vt:variant>
      <vt:variant>
        <vt:i4>278</vt:i4>
      </vt:variant>
      <vt:variant>
        <vt:i4>0</vt:i4>
      </vt:variant>
      <vt:variant>
        <vt:i4>5</vt:i4>
      </vt:variant>
      <vt:variant>
        <vt:lpwstr/>
      </vt:variant>
      <vt:variant>
        <vt:lpwstr>_Toc443247143</vt:lpwstr>
      </vt:variant>
      <vt:variant>
        <vt:i4>1179698</vt:i4>
      </vt:variant>
      <vt:variant>
        <vt:i4>272</vt:i4>
      </vt:variant>
      <vt:variant>
        <vt:i4>0</vt:i4>
      </vt:variant>
      <vt:variant>
        <vt:i4>5</vt:i4>
      </vt:variant>
      <vt:variant>
        <vt:lpwstr/>
      </vt:variant>
      <vt:variant>
        <vt:lpwstr>_Toc443247142</vt:lpwstr>
      </vt:variant>
      <vt:variant>
        <vt:i4>1179698</vt:i4>
      </vt:variant>
      <vt:variant>
        <vt:i4>266</vt:i4>
      </vt:variant>
      <vt:variant>
        <vt:i4>0</vt:i4>
      </vt:variant>
      <vt:variant>
        <vt:i4>5</vt:i4>
      </vt:variant>
      <vt:variant>
        <vt:lpwstr/>
      </vt:variant>
      <vt:variant>
        <vt:lpwstr>_Toc443247141</vt:lpwstr>
      </vt:variant>
      <vt:variant>
        <vt:i4>1179698</vt:i4>
      </vt:variant>
      <vt:variant>
        <vt:i4>260</vt:i4>
      </vt:variant>
      <vt:variant>
        <vt:i4>0</vt:i4>
      </vt:variant>
      <vt:variant>
        <vt:i4>5</vt:i4>
      </vt:variant>
      <vt:variant>
        <vt:lpwstr/>
      </vt:variant>
      <vt:variant>
        <vt:lpwstr>_Toc443247140</vt:lpwstr>
      </vt:variant>
      <vt:variant>
        <vt:i4>1376306</vt:i4>
      </vt:variant>
      <vt:variant>
        <vt:i4>254</vt:i4>
      </vt:variant>
      <vt:variant>
        <vt:i4>0</vt:i4>
      </vt:variant>
      <vt:variant>
        <vt:i4>5</vt:i4>
      </vt:variant>
      <vt:variant>
        <vt:lpwstr/>
      </vt:variant>
      <vt:variant>
        <vt:lpwstr>_Toc443247139</vt:lpwstr>
      </vt:variant>
      <vt:variant>
        <vt:i4>1376306</vt:i4>
      </vt:variant>
      <vt:variant>
        <vt:i4>248</vt:i4>
      </vt:variant>
      <vt:variant>
        <vt:i4>0</vt:i4>
      </vt:variant>
      <vt:variant>
        <vt:i4>5</vt:i4>
      </vt:variant>
      <vt:variant>
        <vt:lpwstr/>
      </vt:variant>
      <vt:variant>
        <vt:lpwstr>_Toc443247138</vt:lpwstr>
      </vt:variant>
      <vt:variant>
        <vt:i4>1376306</vt:i4>
      </vt:variant>
      <vt:variant>
        <vt:i4>242</vt:i4>
      </vt:variant>
      <vt:variant>
        <vt:i4>0</vt:i4>
      </vt:variant>
      <vt:variant>
        <vt:i4>5</vt:i4>
      </vt:variant>
      <vt:variant>
        <vt:lpwstr/>
      </vt:variant>
      <vt:variant>
        <vt:lpwstr>_Toc443247137</vt:lpwstr>
      </vt:variant>
      <vt:variant>
        <vt:i4>1376306</vt:i4>
      </vt:variant>
      <vt:variant>
        <vt:i4>236</vt:i4>
      </vt:variant>
      <vt:variant>
        <vt:i4>0</vt:i4>
      </vt:variant>
      <vt:variant>
        <vt:i4>5</vt:i4>
      </vt:variant>
      <vt:variant>
        <vt:lpwstr/>
      </vt:variant>
      <vt:variant>
        <vt:lpwstr>_Toc443247136</vt:lpwstr>
      </vt:variant>
      <vt:variant>
        <vt:i4>1376306</vt:i4>
      </vt:variant>
      <vt:variant>
        <vt:i4>230</vt:i4>
      </vt:variant>
      <vt:variant>
        <vt:i4>0</vt:i4>
      </vt:variant>
      <vt:variant>
        <vt:i4>5</vt:i4>
      </vt:variant>
      <vt:variant>
        <vt:lpwstr/>
      </vt:variant>
      <vt:variant>
        <vt:lpwstr>_Toc443247135</vt:lpwstr>
      </vt:variant>
      <vt:variant>
        <vt:i4>1376306</vt:i4>
      </vt:variant>
      <vt:variant>
        <vt:i4>224</vt:i4>
      </vt:variant>
      <vt:variant>
        <vt:i4>0</vt:i4>
      </vt:variant>
      <vt:variant>
        <vt:i4>5</vt:i4>
      </vt:variant>
      <vt:variant>
        <vt:lpwstr/>
      </vt:variant>
      <vt:variant>
        <vt:lpwstr>_Toc443247134</vt:lpwstr>
      </vt:variant>
      <vt:variant>
        <vt:i4>1376306</vt:i4>
      </vt:variant>
      <vt:variant>
        <vt:i4>218</vt:i4>
      </vt:variant>
      <vt:variant>
        <vt:i4>0</vt:i4>
      </vt:variant>
      <vt:variant>
        <vt:i4>5</vt:i4>
      </vt:variant>
      <vt:variant>
        <vt:lpwstr/>
      </vt:variant>
      <vt:variant>
        <vt:lpwstr>_Toc443247133</vt:lpwstr>
      </vt:variant>
      <vt:variant>
        <vt:i4>1376306</vt:i4>
      </vt:variant>
      <vt:variant>
        <vt:i4>212</vt:i4>
      </vt:variant>
      <vt:variant>
        <vt:i4>0</vt:i4>
      </vt:variant>
      <vt:variant>
        <vt:i4>5</vt:i4>
      </vt:variant>
      <vt:variant>
        <vt:lpwstr/>
      </vt:variant>
      <vt:variant>
        <vt:lpwstr>_Toc443247132</vt:lpwstr>
      </vt:variant>
      <vt:variant>
        <vt:i4>1376306</vt:i4>
      </vt:variant>
      <vt:variant>
        <vt:i4>206</vt:i4>
      </vt:variant>
      <vt:variant>
        <vt:i4>0</vt:i4>
      </vt:variant>
      <vt:variant>
        <vt:i4>5</vt:i4>
      </vt:variant>
      <vt:variant>
        <vt:lpwstr/>
      </vt:variant>
      <vt:variant>
        <vt:lpwstr>_Toc443247131</vt:lpwstr>
      </vt:variant>
      <vt:variant>
        <vt:i4>1376306</vt:i4>
      </vt:variant>
      <vt:variant>
        <vt:i4>200</vt:i4>
      </vt:variant>
      <vt:variant>
        <vt:i4>0</vt:i4>
      </vt:variant>
      <vt:variant>
        <vt:i4>5</vt:i4>
      </vt:variant>
      <vt:variant>
        <vt:lpwstr/>
      </vt:variant>
      <vt:variant>
        <vt:lpwstr>_Toc443247130</vt:lpwstr>
      </vt:variant>
      <vt:variant>
        <vt:i4>1310770</vt:i4>
      </vt:variant>
      <vt:variant>
        <vt:i4>194</vt:i4>
      </vt:variant>
      <vt:variant>
        <vt:i4>0</vt:i4>
      </vt:variant>
      <vt:variant>
        <vt:i4>5</vt:i4>
      </vt:variant>
      <vt:variant>
        <vt:lpwstr/>
      </vt:variant>
      <vt:variant>
        <vt:lpwstr>_Toc443247129</vt:lpwstr>
      </vt:variant>
      <vt:variant>
        <vt:i4>1310770</vt:i4>
      </vt:variant>
      <vt:variant>
        <vt:i4>188</vt:i4>
      </vt:variant>
      <vt:variant>
        <vt:i4>0</vt:i4>
      </vt:variant>
      <vt:variant>
        <vt:i4>5</vt:i4>
      </vt:variant>
      <vt:variant>
        <vt:lpwstr/>
      </vt:variant>
      <vt:variant>
        <vt:lpwstr>_Toc443247128</vt:lpwstr>
      </vt:variant>
      <vt:variant>
        <vt:i4>1310770</vt:i4>
      </vt:variant>
      <vt:variant>
        <vt:i4>182</vt:i4>
      </vt:variant>
      <vt:variant>
        <vt:i4>0</vt:i4>
      </vt:variant>
      <vt:variant>
        <vt:i4>5</vt:i4>
      </vt:variant>
      <vt:variant>
        <vt:lpwstr/>
      </vt:variant>
      <vt:variant>
        <vt:lpwstr>_Toc443247127</vt:lpwstr>
      </vt:variant>
      <vt:variant>
        <vt:i4>1310770</vt:i4>
      </vt:variant>
      <vt:variant>
        <vt:i4>176</vt:i4>
      </vt:variant>
      <vt:variant>
        <vt:i4>0</vt:i4>
      </vt:variant>
      <vt:variant>
        <vt:i4>5</vt:i4>
      </vt:variant>
      <vt:variant>
        <vt:lpwstr/>
      </vt:variant>
      <vt:variant>
        <vt:lpwstr>_Toc443247126</vt:lpwstr>
      </vt:variant>
      <vt:variant>
        <vt:i4>1310770</vt:i4>
      </vt:variant>
      <vt:variant>
        <vt:i4>170</vt:i4>
      </vt:variant>
      <vt:variant>
        <vt:i4>0</vt:i4>
      </vt:variant>
      <vt:variant>
        <vt:i4>5</vt:i4>
      </vt:variant>
      <vt:variant>
        <vt:lpwstr/>
      </vt:variant>
      <vt:variant>
        <vt:lpwstr>_Toc443247125</vt:lpwstr>
      </vt:variant>
      <vt:variant>
        <vt:i4>1310770</vt:i4>
      </vt:variant>
      <vt:variant>
        <vt:i4>164</vt:i4>
      </vt:variant>
      <vt:variant>
        <vt:i4>0</vt:i4>
      </vt:variant>
      <vt:variant>
        <vt:i4>5</vt:i4>
      </vt:variant>
      <vt:variant>
        <vt:lpwstr/>
      </vt:variant>
      <vt:variant>
        <vt:lpwstr>_Toc443247124</vt:lpwstr>
      </vt:variant>
      <vt:variant>
        <vt:i4>1310770</vt:i4>
      </vt:variant>
      <vt:variant>
        <vt:i4>158</vt:i4>
      </vt:variant>
      <vt:variant>
        <vt:i4>0</vt:i4>
      </vt:variant>
      <vt:variant>
        <vt:i4>5</vt:i4>
      </vt:variant>
      <vt:variant>
        <vt:lpwstr/>
      </vt:variant>
      <vt:variant>
        <vt:lpwstr>_Toc443247123</vt:lpwstr>
      </vt:variant>
      <vt:variant>
        <vt:i4>1310770</vt:i4>
      </vt:variant>
      <vt:variant>
        <vt:i4>152</vt:i4>
      </vt:variant>
      <vt:variant>
        <vt:i4>0</vt:i4>
      </vt:variant>
      <vt:variant>
        <vt:i4>5</vt:i4>
      </vt:variant>
      <vt:variant>
        <vt:lpwstr/>
      </vt:variant>
      <vt:variant>
        <vt:lpwstr>_Toc443247122</vt:lpwstr>
      </vt:variant>
      <vt:variant>
        <vt:i4>1310770</vt:i4>
      </vt:variant>
      <vt:variant>
        <vt:i4>146</vt:i4>
      </vt:variant>
      <vt:variant>
        <vt:i4>0</vt:i4>
      </vt:variant>
      <vt:variant>
        <vt:i4>5</vt:i4>
      </vt:variant>
      <vt:variant>
        <vt:lpwstr/>
      </vt:variant>
      <vt:variant>
        <vt:lpwstr>_Toc443247121</vt:lpwstr>
      </vt:variant>
      <vt:variant>
        <vt:i4>1310770</vt:i4>
      </vt:variant>
      <vt:variant>
        <vt:i4>140</vt:i4>
      </vt:variant>
      <vt:variant>
        <vt:i4>0</vt:i4>
      </vt:variant>
      <vt:variant>
        <vt:i4>5</vt:i4>
      </vt:variant>
      <vt:variant>
        <vt:lpwstr/>
      </vt:variant>
      <vt:variant>
        <vt:lpwstr>_Toc443247120</vt:lpwstr>
      </vt:variant>
      <vt:variant>
        <vt:i4>1507378</vt:i4>
      </vt:variant>
      <vt:variant>
        <vt:i4>134</vt:i4>
      </vt:variant>
      <vt:variant>
        <vt:i4>0</vt:i4>
      </vt:variant>
      <vt:variant>
        <vt:i4>5</vt:i4>
      </vt:variant>
      <vt:variant>
        <vt:lpwstr/>
      </vt:variant>
      <vt:variant>
        <vt:lpwstr>_Toc443247119</vt:lpwstr>
      </vt:variant>
      <vt:variant>
        <vt:i4>1507378</vt:i4>
      </vt:variant>
      <vt:variant>
        <vt:i4>128</vt:i4>
      </vt:variant>
      <vt:variant>
        <vt:i4>0</vt:i4>
      </vt:variant>
      <vt:variant>
        <vt:i4>5</vt:i4>
      </vt:variant>
      <vt:variant>
        <vt:lpwstr/>
      </vt:variant>
      <vt:variant>
        <vt:lpwstr>_Toc443247118</vt:lpwstr>
      </vt:variant>
      <vt:variant>
        <vt:i4>1507378</vt:i4>
      </vt:variant>
      <vt:variant>
        <vt:i4>122</vt:i4>
      </vt:variant>
      <vt:variant>
        <vt:i4>0</vt:i4>
      </vt:variant>
      <vt:variant>
        <vt:i4>5</vt:i4>
      </vt:variant>
      <vt:variant>
        <vt:lpwstr/>
      </vt:variant>
      <vt:variant>
        <vt:lpwstr>_Toc443247117</vt:lpwstr>
      </vt:variant>
      <vt:variant>
        <vt:i4>1507378</vt:i4>
      </vt:variant>
      <vt:variant>
        <vt:i4>116</vt:i4>
      </vt:variant>
      <vt:variant>
        <vt:i4>0</vt:i4>
      </vt:variant>
      <vt:variant>
        <vt:i4>5</vt:i4>
      </vt:variant>
      <vt:variant>
        <vt:lpwstr/>
      </vt:variant>
      <vt:variant>
        <vt:lpwstr>_Toc443247116</vt:lpwstr>
      </vt:variant>
      <vt:variant>
        <vt:i4>1507378</vt:i4>
      </vt:variant>
      <vt:variant>
        <vt:i4>110</vt:i4>
      </vt:variant>
      <vt:variant>
        <vt:i4>0</vt:i4>
      </vt:variant>
      <vt:variant>
        <vt:i4>5</vt:i4>
      </vt:variant>
      <vt:variant>
        <vt:lpwstr/>
      </vt:variant>
      <vt:variant>
        <vt:lpwstr>_Toc443247115</vt:lpwstr>
      </vt:variant>
      <vt:variant>
        <vt:i4>1507378</vt:i4>
      </vt:variant>
      <vt:variant>
        <vt:i4>104</vt:i4>
      </vt:variant>
      <vt:variant>
        <vt:i4>0</vt:i4>
      </vt:variant>
      <vt:variant>
        <vt:i4>5</vt:i4>
      </vt:variant>
      <vt:variant>
        <vt:lpwstr/>
      </vt:variant>
      <vt:variant>
        <vt:lpwstr>_Toc443247114</vt:lpwstr>
      </vt:variant>
      <vt:variant>
        <vt:i4>1507378</vt:i4>
      </vt:variant>
      <vt:variant>
        <vt:i4>98</vt:i4>
      </vt:variant>
      <vt:variant>
        <vt:i4>0</vt:i4>
      </vt:variant>
      <vt:variant>
        <vt:i4>5</vt:i4>
      </vt:variant>
      <vt:variant>
        <vt:lpwstr/>
      </vt:variant>
      <vt:variant>
        <vt:lpwstr>_Toc443247113</vt:lpwstr>
      </vt:variant>
      <vt:variant>
        <vt:i4>1507378</vt:i4>
      </vt:variant>
      <vt:variant>
        <vt:i4>92</vt:i4>
      </vt:variant>
      <vt:variant>
        <vt:i4>0</vt:i4>
      </vt:variant>
      <vt:variant>
        <vt:i4>5</vt:i4>
      </vt:variant>
      <vt:variant>
        <vt:lpwstr/>
      </vt:variant>
      <vt:variant>
        <vt:lpwstr>_Toc443247112</vt:lpwstr>
      </vt:variant>
      <vt:variant>
        <vt:i4>1507378</vt:i4>
      </vt:variant>
      <vt:variant>
        <vt:i4>86</vt:i4>
      </vt:variant>
      <vt:variant>
        <vt:i4>0</vt:i4>
      </vt:variant>
      <vt:variant>
        <vt:i4>5</vt:i4>
      </vt:variant>
      <vt:variant>
        <vt:lpwstr/>
      </vt:variant>
      <vt:variant>
        <vt:lpwstr>_Toc443247111</vt:lpwstr>
      </vt:variant>
      <vt:variant>
        <vt:i4>1507378</vt:i4>
      </vt:variant>
      <vt:variant>
        <vt:i4>80</vt:i4>
      </vt:variant>
      <vt:variant>
        <vt:i4>0</vt:i4>
      </vt:variant>
      <vt:variant>
        <vt:i4>5</vt:i4>
      </vt:variant>
      <vt:variant>
        <vt:lpwstr/>
      </vt:variant>
      <vt:variant>
        <vt:lpwstr>_Toc443247110</vt:lpwstr>
      </vt:variant>
      <vt:variant>
        <vt:i4>1441842</vt:i4>
      </vt:variant>
      <vt:variant>
        <vt:i4>74</vt:i4>
      </vt:variant>
      <vt:variant>
        <vt:i4>0</vt:i4>
      </vt:variant>
      <vt:variant>
        <vt:i4>5</vt:i4>
      </vt:variant>
      <vt:variant>
        <vt:lpwstr/>
      </vt:variant>
      <vt:variant>
        <vt:lpwstr>_Toc443247109</vt:lpwstr>
      </vt:variant>
      <vt:variant>
        <vt:i4>1441842</vt:i4>
      </vt:variant>
      <vt:variant>
        <vt:i4>68</vt:i4>
      </vt:variant>
      <vt:variant>
        <vt:i4>0</vt:i4>
      </vt:variant>
      <vt:variant>
        <vt:i4>5</vt:i4>
      </vt:variant>
      <vt:variant>
        <vt:lpwstr/>
      </vt:variant>
      <vt:variant>
        <vt:lpwstr>_Toc443247108</vt:lpwstr>
      </vt:variant>
      <vt:variant>
        <vt:i4>1441842</vt:i4>
      </vt:variant>
      <vt:variant>
        <vt:i4>62</vt:i4>
      </vt:variant>
      <vt:variant>
        <vt:i4>0</vt:i4>
      </vt:variant>
      <vt:variant>
        <vt:i4>5</vt:i4>
      </vt:variant>
      <vt:variant>
        <vt:lpwstr/>
      </vt:variant>
      <vt:variant>
        <vt:lpwstr>_Toc443247107</vt:lpwstr>
      </vt:variant>
      <vt:variant>
        <vt:i4>1441842</vt:i4>
      </vt:variant>
      <vt:variant>
        <vt:i4>56</vt:i4>
      </vt:variant>
      <vt:variant>
        <vt:i4>0</vt:i4>
      </vt:variant>
      <vt:variant>
        <vt:i4>5</vt:i4>
      </vt:variant>
      <vt:variant>
        <vt:lpwstr/>
      </vt:variant>
      <vt:variant>
        <vt:lpwstr>_Toc443247106</vt:lpwstr>
      </vt:variant>
      <vt:variant>
        <vt:i4>1441842</vt:i4>
      </vt:variant>
      <vt:variant>
        <vt:i4>50</vt:i4>
      </vt:variant>
      <vt:variant>
        <vt:i4>0</vt:i4>
      </vt:variant>
      <vt:variant>
        <vt:i4>5</vt:i4>
      </vt:variant>
      <vt:variant>
        <vt:lpwstr/>
      </vt:variant>
      <vt:variant>
        <vt:lpwstr>_Toc443247105</vt:lpwstr>
      </vt:variant>
      <vt:variant>
        <vt:i4>1441842</vt:i4>
      </vt:variant>
      <vt:variant>
        <vt:i4>44</vt:i4>
      </vt:variant>
      <vt:variant>
        <vt:i4>0</vt:i4>
      </vt:variant>
      <vt:variant>
        <vt:i4>5</vt:i4>
      </vt:variant>
      <vt:variant>
        <vt:lpwstr/>
      </vt:variant>
      <vt:variant>
        <vt:lpwstr>_Toc443247104</vt:lpwstr>
      </vt:variant>
      <vt:variant>
        <vt:i4>1441842</vt:i4>
      </vt:variant>
      <vt:variant>
        <vt:i4>38</vt:i4>
      </vt:variant>
      <vt:variant>
        <vt:i4>0</vt:i4>
      </vt:variant>
      <vt:variant>
        <vt:i4>5</vt:i4>
      </vt:variant>
      <vt:variant>
        <vt:lpwstr/>
      </vt:variant>
      <vt:variant>
        <vt:lpwstr>_Toc443247103</vt:lpwstr>
      </vt:variant>
      <vt:variant>
        <vt:i4>1441842</vt:i4>
      </vt:variant>
      <vt:variant>
        <vt:i4>32</vt:i4>
      </vt:variant>
      <vt:variant>
        <vt:i4>0</vt:i4>
      </vt:variant>
      <vt:variant>
        <vt:i4>5</vt:i4>
      </vt:variant>
      <vt:variant>
        <vt:lpwstr/>
      </vt:variant>
      <vt:variant>
        <vt:lpwstr>_Toc443247102</vt:lpwstr>
      </vt:variant>
      <vt:variant>
        <vt:i4>1441842</vt:i4>
      </vt:variant>
      <vt:variant>
        <vt:i4>26</vt:i4>
      </vt:variant>
      <vt:variant>
        <vt:i4>0</vt:i4>
      </vt:variant>
      <vt:variant>
        <vt:i4>5</vt:i4>
      </vt:variant>
      <vt:variant>
        <vt:lpwstr/>
      </vt:variant>
      <vt:variant>
        <vt:lpwstr>_Toc443247101</vt:lpwstr>
      </vt:variant>
      <vt:variant>
        <vt:i4>1441842</vt:i4>
      </vt:variant>
      <vt:variant>
        <vt:i4>20</vt:i4>
      </vt:variant>
      <vt:variant>
        <vt:i4>0</vt:i4>
      </vt:variant>
      <vt:variant>
        <vt:i4>5</vt:i4>
      </vt:variant>
      <vt:variant>
        <vt:lpwstr/>
      </vt:variant>
      <vt:variant>
        <vt:lpwstr>_Toc443247100</vt:lpwstr>
      </vt:variant>
      <vt:variant>
        <vt:i4>2031667</vt:i4>
      </vt:variant>
      <vt:variant>
        <vt:i4>14</vt:i4>
      </vt:variant>
      <vt:variant>
        <vt:i4>0</vt:i4>
      </vt:variant>
      <vt:variant>
        <vt:i4>5</vt:i4>
      </vt:variant>
      <vt:variant>
        <vt:lpwstr/>
      </vt:variant>
      <vt:variant>
        <vt:lpwstr>_Toc443247099</vt:lpwstr>
      </vt:variant>
      <vt:variant>
        <vt:i4>2031667</vt:i4>
      </vt:variant>
      <vt:variant>
        <vt:i4>8</vt:i4>
      </vt:variant>
      <vt:variant>
        <vt:i4>0</vt:i4>
      </vt:variant>
      <vt:variant>
        <vt:i4>5</vt:i4>
      </vt:variant>
      <vt:variant>
        <vt:lpwstr/>
      </vt:variant>
      <vt:variant>
        <vt:lpwstr>_Toc443247098</vt:lpwstr>
      </vt:variant>
      <vt:variant>
        <vt:i4>2031667</vt:i4>
      </vt:variant>
      <vt:variant>
        <vt:i4>2</vt:i4>
      </vt:variant>
      <vt:variant>
        <vt:i4>0</vt:i4>
      </vt:variant>
      <vt:variant>
        <vt:i4>5</vt:i4>
      </vt:variant>
      <vt:variant>
        <vt:lpwstr/>
      </vt:variant>
      <vt:variant>
        <vt:lpwstr>_Toc443247097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DO PARANÁ</dc:title>
  <dc:creator>Infoshow</dc:creator>
  <cp:lastModifiedBy>CAPA-1</cp:lastModifiedBy>
  <cp:revision>2</cp:revision>
  <cp:lastPrinted>2016-06-22T17:11:00Z</cp:lastPrinted>
  <dcterms:created xsi:type="dcterms:W3CDTF">2017-05-07T20:13:00Z</dcterms:created>
  <dcterms:modified xsi:type="dcterms:W3CDTF">2017-05-07T20:13:00Z</dcterms:modified>
</cp:coreProperties>
</file>