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36" w:rsidRPr="00D13298" w:rsidRDefault="00700436" w:rsidP="00D13298">
      <w:pPr>
        <w:jc w:val="center"/>
        <w:rPr>
          <w:rFonts w:ascii="Arial" w:hAnsi="Arial" w:cs="Arial"/>
          <w:sz w:val="20"/>
          <w:szCs w:val="20"/>
        </w:rPr>
      </w:pPr>
    </w:p>
    <w:p w:rsidR="00700436" w:rsidRPr="009C6D78" w:rsidRDefault="00210F4E" w:rsidP="009C6D78">
      <w:r w:rsidRPr="009C6D78">
        <w:t>PRPPG7000</w:t>
      </w:r>
      <w:r w:rsidR="0030020F" w:rsidRPr="009C6D78">
        <w:t xml:space="preserve"> </w:t>
      </w:r>
      <w:r w:rsidRPr="009C6D78">
        <w:t>–</w:t>
      </w:r>
      <w:r w:rsidR="00700436" w:rsidRPr="009C6D78">
        <w:t xml:space="preserve"> </w:t>
      </w:r>
      <w:r w:rsidRPr="009C6D78">
        <w:t>ESCRITA ACADÊMICA EM LÍNGUA INGLESA</w:t>
      </w:r>
    </w:p>
    <w:p w:rsidR="0030020F" w:rsidRPr="009C6D78" w:rsidRDefault="0030020F" w:rsidP="009C6D78"/>
    <w:p w:rsidR="0030020F" w:rsidRPr="009C6D78" w:rsidRDefault="009C6D78" w:rsidP="009C6D78">
      <w:r w:rsidRPr="009C6D78">
        <w:t>Prof. Dr. Ron Martinez</w:t>
      </w:r>
    </w:p>
    <w:p w:rsidR="002466C2" w:rsidRPr="009C6D78" w:rsidRDefault="002466C2" w:rsidP="009C6D78"/>
    <w:p w:rsidR="002466C2" w:rsidRPr="009C6D78" w:rsidRDefault="002466C2" w:rsidP="009C6D78">
      <w:r w:rsidRPr="009C6D78">
        <w:t xml:space="preserve">Horário da disciplina: </w:t>
      </w:r>
      <w:r w:rsidR="00877069">
        <w:t>quartas-feiras a partir das 14h</w:t>
      </w:r>
    </w:p>
    <w:p w:rsidR="00700436" w:rsidRPr="009C6D78" w:rsidRDefault="00700436" w:rsidP="009C6D78"/>
    <w:p w:rsidR="009C6D78" w:rsidRDefault="00D13298" w:rsidP="009C6D78">
      <w:r w:rsidRPr="009C6D78">
        <w:t>Objetivos</w:t>
      </w:r>
      <w:r w:rsidR="009C6D78" w:rsidRPr="009C6D78">
        <w:t>:</w:t>
      </w:r>
    </w:p>
    <w:p w:rsidR="00D13298" w:rsidRPr="009C6D78" w:rsidRDefault="00D13298" w:rsidP="009C6D78"/>
    <w:p w:rsidR="009C6D78" w:rsidRPr="009C6D78" w:rsidRDefault="009C6D78" w:rsidP="009C6D78">
      <w:r w:rsidRPr="009C6D78">
        <w:t>Esta disciplina, que será ministrada em língua inglesa, visa a fornecer ao aluno de pós-graduação (especialmente) a base fundamental para poder redigir um texto acadêmico em inglês. O gênero focado é o de artigo científico, e suas seções mais típicas: Título, Resumo, Introdução, Método, Resultados e Discussão/Conclusão. Dentro destes componentes, a aluno aprenderá, através de diversos modelos e exemplos, como os autores de tais textos constroem seus argumentos, e quais são os ingredientes linguísticos mais típicos e esperados em cada seção (especialmente nas partes de Introdução e Discussão, que costumam ser as mais desafiadoras para autores acadêmicos menos experientes). Além disso, o participante da discipli</w:t>
      </w:r>
      <w:r w:rsidR="00D81017">
        <w:t>na verá diversas ferramentas que</w:t>
      </w:r>
      <w:r w:rsidRPr="009C6D78">
        <w:t xml:space="preserve"> poderá usar</w:t>
      </w:r>
      <w:bookmarkStart w:id="0" w:name="_GoBack"/>
      <w:bookmarkEnd w:id="0"/>
      <w:r w:rsidRPr="009C6D78">
        <w:t xml:space="preserve"> até depois da disciplina, tais como software especializado para construir um corpus linguístico específico, e também recursos disponíveis online. A disciplina também contará com alguns especialistas que serão convidados para ministrar sobre temas importantes como, por exemplo, estratégias para se lidar com editores de revistas científicas, e processos de revisão. Até o fim da disciplina, o aluno que já tem dados coletados no início poderá ter a primeira versão de um artigo completo até o final. As aulas serão discursivas e interativas, e </w:t>
      </w:r>
      <w:r w:rsidR="00D81017">
        <w:t>a participação dos orientadores (por meio do aluno participante da disciplina) também será exigida</w:t>
      </w:r>
      <w:r w:rsidRPr="009C6D78">
        <w:t>. O aluno deve trazer seu notebook para poder usufruir das atividades trabalhadas ao longo das aulas.</w:t>
      </w:r>
      <w:r w:rsidR="00D81017">
        <w:t xml:space="preserve">  É recomendado já ter dados coletados, ou estar no processo da coleta.  </w:t>
      </w:r>
      <w:r w:rsidRPr="009C6D78">
        <w:t xml:space="preserve"> O nível </w:t>
      </w:r>
      <w:r w:rsidR="00D81017">
        <w:t xml:space="preserve">mínimo </w:t>
      </w:r>
      <w:r w:rsidRPr="009C6D78">
        <w:t>de inglês necessário é B1 (QEC) para poder aproveitar a disciplina.</w:t>
      </w:r>
      <w:r w:rsidR="00877069">
        <w:t xml:space="preserve">  </w:t>
      </w:r>
    </w:p>
    <w:p w:rsidR="009C6D78" w:rsidRPr="009C6D78" w:rsidRDefault="009C6D78" w:rsidP="009C6D78"/>
    <w:p w:rsidR="009C6D78" w:rsidRDefault="00D13298" w:rsidP="009C6D78">
      <w:r w:rsidRPr="009C6D78">
        <w:t>Programa</w:t>
      </w:r>
      <w:r w:rsidR="009C6D78">
        <w:t>:</w:t>
      </w:r>
    </w:p>
    <w:p w:rsidR="00D13298" w:rsidRPr="009C6D78" w:rsidRDefault="00D13298" w:rsidP="009C6D78"/>
    <w:p w:rsidR="009C6D78" w:rsidRPr="009C6D78" w:rsidRDefault="009C6D78" w:rsidP="009C6D78">
      <w:r w:rsidRPr="009C6D78">
        <w:t>1) Ciência além de língua inglesa: o que faz o texto acadêmico ser "bom"?</w:t>
      </w:r>
    </w:p>
    <w:p w:rsidR="009C6D78" w:rsidRPr="009C6D78" w:rsidRDefault="009C6D78" w:rsidP="009C6D78">
      <w:r w:rsidRPr="009C6D78">
        <w:t>2) Textos acadêmicos em inglês: questões gramaticais; recursos eletrônicos</w:t>
      </w:r>
    </w:p>
    <w:p w:rsidR="009C6D78" w:rsidRPr="009C6D78" w:rsidRDefault="009C6D78" w:rsidP="009C6D78">
      <w:r w:rsidRPr="009C6D78">
        <w:t>3)  Planejamento estratégica da escrita</w:t>
      </w:r>
    </w:p>
    <w:p w:rsidR="009C6D78" w:rsidRPr="009C6D78" w:rsidRDefault="009C6D78" w:rsidP="009C6D78">
      <w:r w:rsidRPr="009C6D78">
        <w:t>4. Título, resumo e introdução</w:t>
      </w:r>
    </w:p>
    <w:p w:rsidR="009C6D78" w:rsidRPr="009C6D78" w:rsidRDefault="009C6D78" w:rsidP="009C6D78">
      <w:r w:rsidRPr="009C6D78">
        <w:t>5) Coesão e coerência</w:t>
      </w:r>
    </w:p>
    <w:p w:rsidR="009C6D78" w:rsidRPr="009C6D78" w:rsidRDefault="009C6D78" w:rsidP="009C6D78">
      <w:r w:rsidRPr="009C6D78">
        <w:t>6) Conectivos, voz autoral + Método</w:t>
      </w:r>
    </w:p>
    <w:p w:rsidR="009C6D78" w:rsidRPr="009C6D78" w:rsidRDefault="009C6D78" w:rsidP="009C6D78">
      <w:r w:rsidRPr="009C6D78">
        <w:t>7) Resultados: foco nos elementos gráficos</w:t>
      </w:r>
    </w:p>
    <w:p w:rsidR="009C6D78" w:rsidRPr="009C6D78" w:rsidRDefault="009C6D78" w:rsidP="009C6D78">
      <w:r w:rsidRPr="009C6D78">
        <w:t>8) A Discussão dos resultados</w:t>
      </w:r>
    </w:p>
    <w:p w:rsidR="009C6D78" w:rsidRPr="009C6D78" w:rsidRDefault="009C6D78" w:rsidP="009C6D78">
      <w:r w:rsidRPr="009C6D78">
        <w:t>9) Concluindo</w:t>
      </w:r>
    </w:p>
    <w:p w:rsidR="009C6D78" w:rsidRPr="009C6D78" w:rsidRDefault="009C6D78" w:rsidP="009C6D78">
      <w:r w:rsidRPr="009C6D78">
        <w:t>10) Comunicação com a revista</w:t>
      </w:r>
    </w:p>
    <w:p w:rsidR="009C6D78" w:rsidRDefault="009C6D78" w:rsidP="009C6D78">
      <w:r w:rsidRPr="009C6D78">
        <w:t>11) Mesa redonda com Editores de revistas</w:t>
      </w:r>
    </w:p>
    <w:p w:rsidR="00877069" w:rsidRDefault="00877069" w:rsidP="009C6D78"/>
    <w:p w:rsidR="00877069" w:rsidRDefault="00877069" w:rsidP="009C6D78">
      <w:r>
        <w:t>Alunos serão avaliados mediante a entrega de diversas tarefas que serão passadas ao longo da disciplina, assim como uma Introdução de um artigo, e o rascunho de um artigo completo final.</w:t>
      </w:r>
    </w:p>
    <w:p w:rsidR="00877069" w:rsidRDefault="00877069" w:rsidP="009C6D78"/>
    <w:p w:rsidR="00877069" w:rsidRDefault="00877069" w:rsidP="009C6D78"/>
    <w:p w:rsidR="00877069" w:rsidRDefault="00877069" w:rsidP="009C6D78"/>
    <w:p w:rsidR="009C6D78" w:rsidRDefault="009C6D78" w:rsidP="009C6D78"/>
    <w:p w:rsidR="009C6D78" w:rsidRDefault="009C6D78" w:rsidP="009C6D78">
      <w:r>
        <w:lastRenderedPageBreak/>
        <w:t>Biografia preliminar: Esta bibliografia será modificada e/ou atualizada de acordo com o andamento e as necessidades do curso.</w:t>
      </w:r>
    </w:p>
    <w:p w:rsidR="009C6D78" w:rsidRDefault="009C6D78" w:rsidP="009C6D78"/>
    <w:p w:rsidR="009C6D78" w:rsidRPr="009C6D78" w:rsidRDefault="009C6D78" w:rsidP="009C6D78">
      <w:pPr>
        <w:ind w:right="57"/>
        <w:jc w:val="both"/>
        <w:rPr>
          <w:rFonts w:eastAsiaTheme="minorHAnsi" w:cstheme="minorBidi"/>
          <w:szCs w:val="20"/>
          <w:lang w:val="en-US" w:eastAsia="en-US"/>
        </w:rPr>
      </w:pPr>
      <w:proofErr w:type="spellStart"/>
      <w:r w:rsidRPr="00D81017">
        <w:rPr>
          <w:rFonts w:eastAsiaTheme="minorHAnsi" w:cstheme="minorBidi"/>
          <w:color w:val="222222"/>
          <w:szCs w:val="26"/>
          <w:shd w:val="clear" w:color="auto" w:fill="FFFFFF"/>
          <w:lang w:eastAsia="en-US"/>
        </w:rPr>
        <w:t>Grinberg</w:t>
      </w:r>
      <w:proofErr w:type="spellEnd"/>
      <w:r w:rsidRPr="00D81017">
        <w:rPr>
          <w:rFonts w:eastAsiaTheme="minorHAnsi" w:cstheme="minorBidi"/>
          <w:color w:val="222222"/>
          <w:szCs w:val="26"/>
          <w:shd w:val="clear" w:color="auto" w:fill="FFFFFF"/>
          <w:lang w:eastAsia="en-US"/>
        </w:rPr>
        <w:t xml:space="preserve">, M., </w:t>
      </w:r>
      <w:proofErr w:type="spellStart"/>
      <w:r w:rsidRPr="00D81017">
        <w:rPr>
          <w:rFonts w:eastAsiaTheme="minorHAnsi" w:cstheme="minorBidi"/>
          <w:color w:val="222222"/>
          <w:szCs w:val="26"/>
          <w:shd w:val="clear" w:color="auto" w:fill="FFFFFF"/>
          <w:lang w:eastAsia="en-US"/>
        </w:rPr>
        <w:t>Solimene</w:t>
      </w:r>
      <w:proofErr w:type="spellEnd"/>
      <w:r w:rsidRPr="00D81017">
        <w:rPr>
          <w:rFonts w:eastAsiaTheme="minorHAnsi" w:cstheme="minorBidi"/>
          <w:color w:val="222222"/>
          <w:szCs w:val="26"/>
          <w:shd w:val="clear" w:color="auto" w:fill="FFFFFF"/>
          <w:lang w:eastAsia="en-US"/>
        </w:rPr>
        <w:t xml:space="preserve">, M. C., &amp; Barreto, M. D. C. C. (2012). Por que publicar em periódicos </w:t>
      </w:r>
      <w:proofErr w:type="gramStart"/>
      <w:r w:rsidRPr="00D81017">
        <w:rPr>
          <w:rFonts w:eastAsiaTheme="minorHAnsi" w:cstheme="minorBidi"/>
          <w:color w:val="222222"/>
          <w:szCs w:val="26"/>
          <w:shd w:val="clear" w:color="auto" w:fill="FFFFFF"/>
          <w:lang w:eastAsia="en-US"/>
        </w:rPr>
        <w:t>nacionais?.</w:t>
      </w:r>
      <w:proofErr w:type="gramEnd"/>
      <w:r w:rsidRPr="00D81017">
        <w:rPr>
          <w:rFonts w:eastAsiaTheme="minorHAnsi" w:cstheme="minorBidi"/>
          <w:color w:val="222222"/>
          <w:szCs w:val="26"/>
          <w:shd w:val="clear" w:color="auto" w:fill="FFFFFF"/>
          <w:lang w:eastAsia="en-US"/>
        </w:rPr>
        <w:t> </w:t>
      </w:r>
      <w:proofErr w:type="spellStart"/>
      <w:r w:rsidRPr="009C6D78">
        <w:rPr>
          <w:rFonts w:eastAsiaTheme="minorHAnsi" w:cstheme="minorBidi"/>
          <w:i/>
          <w:color w:val="222222"/>
          <w:szCs w:val="26"/>
          <w:shd w:val="clear" w:color="auto" w:fill="FFFFFF"/>
          <w:lang w:val="en-US" w:eastAsia="en-US"/>
        </w:rPr>
        <w:t>Arquivos</w:t>
      </w:r>
      <w:proofErr w:type="spellEnd"/>
      <w:r w:rsidRPr="009C6D78">
        <w:rPr>
          <w:rFonts w:eastAsiaTheme="minorHAnsi" w:cstheme="minorBidi"/>
          <w:i/>
          <w:color w:val="222222"/>
          <w:szCs w:val="26"/>
          <w:shd w:val="clear" w:color="auto" w:fill="FFFFFF"/>
          <w:lang w:val="en-US" w:eastAsia="en-US"/>
        </w:rPr>
        <w:t xml:space="preserve"> </w:t>
      </w:r>
      <w:proofErr w:type="spellStart"/>
      <w:r w:rsidRPr="009C6D78">
        <w:rPr>
          <w:rFonts w:eastAsiaTheme="minorHAnsi" w:cstheme="minorBidi"/>
          <w:i/>
          <w:color w:val="222222"/>
          <w:szCs w:val="26"/>
          <w:shd w:val="clear" w:color="auto" w:fill="FFFFFF"/>
          <w:lang w:val="en-US" w:eastAsia="en-US"/>
        </w:rPr>
        <w:t>Brasileiros</w:t>
      </w:r>
      <w:proofErr w:type="spellEnd"/>
      <w:r w:rsidRPr="009C6D78">
        <w:rPr>
          <w:rFonts w:eastAsiaTheme="minorHAnsi" w:cstheme="minorBidi"/>
          <w:i/>
          <w:color w:val="222222"/>
          <w:szCs w:val="26"/>
          <w:shd w:val="clear" w:color="auto" w:fill="FFFFFF"/>
          <w:lang w:val="en-US" w:eastAsia="en-US"/>
        </w:rPr>
        <w:t xml:space="preserve"> de </w:t>
      </w:r>
      <w:proofErr w:type="spellStart"/>
      <w:r w:rsidRPr="009C6D78">
        <w:rPr>
          <w:rFonts w:eastAsiaTheme="minorHAnsi" w:cstheme="minorBidi"/>
          <w:i/>
          <w:color w:val="222222"/>
          <w:szCs w:val="26"/>
          <w:shd w:val="clear" w:color="auto" w:fill="FFFFFF"/>
          <w:lang w:val="en-US" w:eastAsia="en-US"/>
        </w:rPr>
        <w:t>Cardiologia</w:t>
      </w:r>
      <w:proofErr w:type="spellEnd"/>
      <w:r w:rsidRPr="009C6D78">
        <w:rPr>
          <w:rFonts w:eastAsiaTheme="minorHAnsi" w:cstheme="minorBidi"/>
          <w:color w:val="222222"/>
          <w:szCs w:val="26"/>
          <w:shd w:val="clear" w:color="auto" w:fill="FFFFFF"/>
          <w:lang w:val="en-US" w:eastAsia="en-US"/>
        </w:rPr>
        <w:t>, </w:t>
      </w:r>
      <w:r w:rsidRPr="009C6D78">
        <w:rPr>
          <w:rFonts w:eastAsiaTheme="minorHAnsi" w:cstheme="minorBidi"/>
          <w:i/>
          <w:color w:val="222222"/>
          <w:szCs w:val="26"/>
          <w:shd w:val="clear" w:color="auto" w:fill="FFFFFF"/>
          <w:lang w:val="en-US" w:eastAsia="en-US"/>
        </w:rPr>
        <w:t>98</w:t>
      </w:r>
      <w:r w:rsidRPr="009C6D78">
        <w:rPr>
          <w:rFonts w:eastAsiaTheme="minorHAnsi" w:cstheme="minorBidi"/>
          <w:color w:val="222222"/>
          <w:szCs w:val="26"/>
          <w:shd w:val="clear" w:color="auto" w:fill="FFFFFF"/>
          <w:lang w:val="en-US" w:eastAsia="en-US"/>
        </w:rPr>
        <w:t>(3), 62-63.</w:t>
      </w:r>
    </w:p>
    <w:p w:rsidR="009C6D78" w:rsidRPr="009C6D78" w:rsidRDefault="009C6D78" w:rsidP="009C6D78">
      <w:pPr>
        <w:ind w:right="57"/>
        <w:jc w:val="both"/>
        <w:rPr>
          <w:rFonts w:eastAsiaTheme="minorHAnsi" w:cstheme="minorBidi"/>
          <w:color w:val="222222"/>
          <w:szCs w:val="26"/>
          <w:shd w:val="clear" w:color="auto" w:fill="FFFFFF"/>
          <w:lang w:val="en-US" w:eastAsia="en-US"/>
        </w:rPr>
      </w:pPr>
    </w:p>
    <w:p w:rsidR="009C6D78" w:rsidRPr="009C6D78" w:rsidRDefault="009C6D78" w:rsidP="009C6D78">
      <w:pPr>
        <w:ind w:right="57"/>
        <w:jc w:val="both"/>
        <w:rPr>
          <w:rFonts w:eastAsiaTheme="minorHAnsi" w:cstheme="minorBidi"/>
          <w:szCs w:val="20"/>
          <w:lang w:val="en-US" w:eastAsia="en-US"/>
        </w:rPr>
      </w:pPr>
      <w:proofErr w:type="spellStart"/>
      <w:r w:rsidRPr="009C6D78">
        <w:rPr>
          <w:rFonts w:eastAsiaTheme="minorHAnsi" w:cstheme="minorBidi"/>
          <w:color w:val="222222"/>
          <w:szCs w:val="26"/>
          <w:shd w:val="clear" w:color="auto" w:fill="FFFFFF"/>
          <w:lang w:val="en-US" w:eastAsia="en-US"/>
        </w:rPr>
        <w:t>Hewings</w:t>
      </w:r>
      <w:proofErr w:type="spellEnd"/>
      <w:r w:rsidRPr="009C6D78">
        <w:rPr>
          <w:rFonts w:eastAsiaTheme="minorHAnsi" w:cstheme="minorBidi"/>
          <w:color w:val="222222"/>
          <w:szCs w:val="26"/>
          <w:shd w:val="clear" w:color="auto" w:fill="FFFFFF"/>
          <w:lang w:val="en-US" w:eastAsia="en-US"/>
        </w:rPr>
        <w:t>, M. (2006). English language standards in academic articles: Attitudes of peer reviewers. </w:t>
      </w:r>
      <w:proofErr w:type="spellStart"/>
      <w:r w:rsidRPr="009C6D78">
        <w:rPr>
          <w:rFonts w:eastAsiaTheme="minorHAnsi" w:cstheme="minorBidi"/>
          <w:i/>
          <w:color w:val="222222"/>
          <w:szCs w:val="26"/>
          <w:shd w:val="clear" w:color="auto" w:fill="FFFFFF"/>
          <w:lang w:val="en-US" w:eastAsia="en-US"/>
        </w:rPr>
        <w:t>Revista</w:t>
      </w:r>
      <w:proofErr w:type="spellEnd"/>
      <w:r w:rsidRPr="009C6D78">
        <w:rPr>
          <w:rFonts w:eastAsiaTheme="minorHAnsi" w:cstheme="minorBidi"/>
          <w:i/>
          <w:color w:val="222222"/>
          <w:szCs w:val="26"/>
          <w:shd w:val="clear" w:color="auto" w:fill="FFFFFF"/>
          <w:lang w:val="en-US" w:eastAsia="en-US"/>
        </w:rPr>
        <w:t xml:space="preserve"> </w:t>
      </w:r>
      <w:proofErr w:type="spellStart"/>
      <w:r w:rsidRPr="009C6D78">
        <w:rPr>
          <w:rFonts w:eastAsiaTheme="minorHAnsi" w:cstheme="minorBidi"/>
          <w:i/>
          <w:color w:val="222222"/>
          <w:szCs w:val="26"/>
          <w:shd w:val="clear" w:color="auto" w:fill="FFFFFF"/>
          <w:lang w:val="en-US" w:eastAsia="en-US"/>
        </w:rPr>
        <w:t>canaria</w:t>
      </w:r>
      <w:proofErr w:type="spellEnd"/>
      <w:r w:rsidRPr="009C6D78">
        <w:rPr>
          <w:rFonts w:eastAsiaTheme="minorHAnsi" w:cstheme="minorBidi"/>
          <w:i/>
          <w:color w:val="222222"/>
          <w:szCs w:val="26"/>
          <w:shd w:val="clear" w:color="auto" w:fill="FFFFFF"/>
          <w:lang w:val="en-US" w:eastAsia="en-US"/>
        </w:rPr>
        <w:t xml:space="preserve"> de </w:t>
      </w:r>
      <w:proofErr w:type="spellStart"/>
      <w:r w:rsidRPr="009C6D78">
        <w:rPr>
          <w:rFonts w:eastAsiaTheme="minorHAnsi" w:cstheme="minorBidi"/>
          <w:i/>
          <w:color w:val="222222"/>
          <w:szCs w:val="26"/>
          <w:shd w:val="clear" w:color="auto" w:fill="FFFFFF"/>
          <w:lang w:val="en-US" w:eastAsia="en-US"/>
        </w:rPr>
        <w:t>estudios</w:t>
      </w:r>
      <w:proofErr w:type="spellEnd"/>
      <w:r w:rsidRPr="009C6D78">
        <w:rPr>
          <w:rFonts w:eastAsiaTheme="minorHAnsi" w:cstheme="minorBidi"/>
          <w:i/>
          <w:color w:val="222222"/>
          <w:szCs w:val="26"/>
          <w:shd w:val="clear" w:color="auto" w:fill="FFFFFF"/>
          <w:lang w:val="en-US" w:eastAsia="en-US"/>
        </w:rPr>
        <w:t xml:space="preserve"> </w:t>
      </w:r>
      <w:proofErr w:type="spellStart"/>
      <w:r w:rsidRPr="009C6D78">
        <w:rPr>
          <w:rFonts w:eastAsiaTheme="minorHAnsi" w:cstheme="minorBidi"/>
          <w:i/>
          <w:color w:val="222222"/>
          <w:szCs w:val="26"/>
          <w:shd w:val="clear" w:color="auto" w:fill="FFFFFF"/>
          <w:lang w:val="en-US" w:eastAsia="en-US"/>
        </w:rPr>
        <w:t>ingleses</w:t>
      </w:r>
      <w:proofErr w:type="spellEnd"/>
      <w:r w:rsidRPr="009C6D78">
        <w:rPr>
          <w:rFonts w:eastAsiaTheme="minorHAnsi" w:cstheme="minorBidi"/>
          <w:color w:val="222222"/>
          <w:szCs w:val="26"/>
          <w:shd w:val="clear" w:color="auto" w:fill="FFFFFF"/>
          <w:lang w:val="en-US" w:eastAsia="en-US"/>
        </w:rPr>
        <w:t>, (53), 47-62.</w:t>
      </w:r>
    </w:p>
    <w:p w:rsidR="009C6D78" w:rsidRPr="009C6D78" w:rsidRDefault="009C6D78" w:rsidP="009C6D78">
      <w:pPr>
        <w:ind w:right="57"/>
        <w:jc w:val="both"/>
        <w:rPr>
          <w:rFonts w:eastAsiaTheme="minorHAnsi" w:cstheme="minorBidi"/>
          <w:color w:val="222222"/>
          <w:szCs w:val="26"/>
          <w:shd w:val="clear" w:color="auto" w:fill="FFFFFF"/>
          <w:lang w:val="en-US" w:eastAsia="en-US"/>
        </w:rPr>
      </w:pPr>
    </w:p>
    <w:p w:rsidR="009C6D78" w:rsidRPr="009C6D78" w:rsidRDefault="009C6D78" w:rsidP="009C6D78">
      <w:pPr>
        <w:ind w:right="57"/>
        <w:jc w:val="both"/>
        <w:rPr>
          <w:rFonts w:eastAsiaTheme="minorHAnsi" w:cstheme="minorBidi"/>
          <w:color w:val="222222"/>
          <w:szCs w:val="26"/>
          <w:shd w:val="clear" w:color="auto" w:fill="FFFFFF"/>
          <w:lang w:val="en-US" w:eastAsia="en-US"/>
        </w:rPr>
      </w:pPr>
      <w:r w:rsidRPr="009C6D78">
        <w:rPr>
          <w:rFonts w:eastAsiaTheme="minorHAnsi" w:cstheme="minorBidi"/>
          <w:color w:val="222222"/>
          <w:szCs w:val="26"/>
          <w:shd w:val="clear" w:color="auto" w:fill="FFFFFF"/>
          <w:lang w:val="en-US" w:eastAsia="en-US"/>
        </w:rPr>
        <w:t>Hirano, E. (2009). Research article introductions in English for specific purposes: A comparison between Brazilian Portuguese and English. </w:t>
      </w:r>
      <w:r w:rsidRPr="009C6D78">
        <w:rPr>
          <w:rFonts w:eastAsiaTheme="minorHAnsi" w:cstheme="minorBidi"/>
          <w:i/>
          <w:color w:val="222222"/>
          <w:szCs w:val="26"/>
          <w:shd w:val="clear" w:color="auto" w:fill="FFFFFF"/>
          <w:lang w:val="en-US" w:eastAsia="en-US"/>
        </w:rPr>
        <w:t>English for specific purposes</w:t>
      </w:r>
      <w:r w:rsidRPr="009C6D78">
        <w:rPr>
          <w:rFonts w:eastAsiaTheme="minorHAnsi" w:cstheme="minorBidi"/>
          <w:color w:val="222222"/>
          <w:szCs w:val="26"/>
          <w:shd w:val="clear" w:color="auto" w:fill="FFFFFF"/>
          <w:lang w:val="en-US" w:eastAsia="en-US"/>
        </w:rPr>
        <w:t>, </w:t>
      </w:r>
      <w:r w:rsidRPr="009C6D78">
        <w:rPr>
          <w:rFonts w:eastAsiaTheme="minorHAnsi" w:cstheme="minorBidi"/>
          <w:i/>
          <w:color w:val="222222"/>
          <w:szCs w:val="26"/>
          <w:shd w:val="clear" w:color="auto" w:fill="FFFFFF"/>
          <w:lang w:val="en-US" w:eastAsia="en-US"/>
        </w:rPr>
        <w:t>28</w:t>
      </w:r>
      <w:r w:rsidRPr="009C6D78">
        <w:rPr>
          <w:rFonts w:eastAsiaTheme="minorHAnsi" w:cstheme="minorBidi"/>
          <w:color w:val="222222"/>
          <w:szCs w:val="26"/>
          <w:shd w:val="clear" w:color="auto" w:fill="FFFFFF"/>
          <w:lang w:val="en-US" w:eastAsia="en-US"/>
        </w:rPr>
        <w:t>(4), 240-250.</w:t>
      </w:r>
    </w:p>
    <w:p w:rsidR="009C6D78" w:rsidRPr="009C6D78" w:rsidRDefault="009C6D78" w:rsidP="009C6D78">
      <w:pPr>
        <w:ind w:right="57"/>
        <w:jc w:val="both"/>
        <w:rPr>
          <w:rFonts w:eastAsiaTheme="minorHAnsi" w:cstheme="minorBidi"/>
          <w:color w:val="222222"/>
          <w:szCs w:val="26"/>
          <w:shd w:val="clear" w:color="auto" w:fill="FFFFFF"/>
          <w:lang w:val="en-US" w:eastAsia="en-US"/>
        </w:rPr>
      </w:pPr>
    </w:p>
    <w:p w:rsidR="009C6D78" w:rsidRPr="009C6D78" w:rsidRDefault="009C6D78" w:rsidP="009C6D78">
      <w:pPr>
        <w:ind w:right="57"/>
        <w:jc w:val="both"/>
        <w:rPr>
          <w:rFonts w:eastAsiaTheme="minorHAnsi" w:cstheme="minorBidi"/>
          <w:szCs w:val="20"/>
          <w:lang w:val="en-US" w:eastAsia="en-US"/>
        </w:rPr>
      </w:pPr>
      <w:r w:rsidRPr="009C6D78">
        <w:rPr>
          <w:rFonts w:eastAsiaTheme="minorHAnsi" w:cstheme="minorBidi"/>
          <w:color w:val="222222"/>
          <w:szCs w:val="26"/>
          <w:shd w:val="clear" w:color="auto" w:fill="FFFFFF"/>
          <w:lang w:val="en-US" w:eastAsia="en-US"/>
        </w:rPr>
        <w:t>Hyland, K. (2016). Academic publishing and the myth of linguistic injustice. </w:t>
      </w:r>
      <w:r w:rsidRPr="009C6D78">
        <w:rPr>
          <w:rFonts w:eastAsiaTheme="minorHAnsi" w:cstheme="minorBidi"/>
          <w:i/>
          <w:color w:val="222222"/>
          <w:szCs w:val="26"/>
          <w:shd w:val="clear" w:color="auto" w:fill="FFFFFF"/>
          <w:lang w:val="en-US" w:eastAsia="en-US"/>
        </w:rPr>
        <w:t>Journal of Second Language Writing</w:t>
      </w:r>
      <w:r w:rsidRPr="009C6D78">
        <w:rPr>
          <w:rFonts w:eastAsiaTheme="minorHAnsi" w:cstheme="minorBidi"/>
          <w:color w:val="222222"/>
          <w:szCs w:val="26"/>
          <w:shd w:val="clear" w:color="auto" w:fill="FFFFFF"/>
          <w:lang w:val="en-US" w:eastAsia="en-US"/>
        </w:rPr>
        <w:t>, </w:t>
      </w:r>
      <w:r w:rsidRPr="009C6D78">
        <w:rPr>
          <w:rFonts w:eastAsiaTheme="minorHAnsi" w:cstheme="minorBidi"/>
          <w:i/>
          <w:color w:val="222222"/>
          <w:szCs w:val="26"/>
          <w:shd w:val="clear" w:color="auto" w:fill="FFFFFF"/>
          <w:lang w:val="en-US" w:eastAsia="en-US"/>
        </w:rPr>
        <w:t>31</w:t>
      </w:r>
      <w:r w:rsidRPr="009C6D78">
        <w:rPr>
          <w:rFonts w:eastAsiaTheme="minorHAnsi" w:cstheme="minorBidi"/>
          <w:color w:val="222222"/>
          <w:szCs w:val="26"/>
          <w:shd w:val="clear" w:color="auto" w:fill="FFFFFF"/>
          <w:lang w:val="en-US" w:eastAsia="en-US"/>
        </w:rPr>
        <w:t>, 58-69.</w:t>
      </w:r>
    </w:p>
    <w:p w:rsidR="009C6D78" w:rsidRPr="009C6D78" w:rsidRDefault="009C6D78" w:rsidP="009C6D78">
      <w:pPr>
        <w:ind w:right="57"/>
        <w:jc w:val="both"/>
        <w:rPr>
          <w:rFonts w:ascii="Times" w:eastAsiaTheme="minorHAnsi" w:hAnsi="Times" w:cstheme="minorBidi"/>
          <w:sz w:val="20"/>
          <w:szCs w:val="20"/>
          <w:lang w:val="en-US" w:eastAsia="en-US"/>
        </w:rPr>
      </w:pPr>
    </w:p>
    <w:p w:rsidR="009C6D78" w:rsidRPr="009C6D78" w:rsidRDefault="009C6D78" w:rsidP="009C6D78"/>
    <w:p w:rsidR="00A12E3D" w:rsidRPr="00D13298" w:rsidRDefault="00A12E3D" w:rsidP="00D13298">
      <w:pPr>
        <w:autoSpaceDE w:val="0"/>
        <w:autoSpaceDN w:val="0"/>
        <w:adjustRightInd w:val="0"/>
        <w:ind w:left="426" w:hanging="426"/>
        <w:rPr>
          <w:rFonts w:ascii="Arial" w:eastAsiaTheme="minorHAnsi" w:hAnsi="Arial" w:cs="Arial"/>
          <w:sz w:val="20"/>
          <w:szCs w:val="20"/>
          <w:lang w:val="en-US" w:eastAsia="en-US"/>
        </w:rPr>
      </w:pPr>
    </w:p>
    <w:sectPr w:rsidR="00A12E3D" w:rsidRPr="00D13298" w:rsidSect="00D13298">
      <w:pgSz w:w="12240" w:h="15840"/>
      <w:pgMar w:top="1134" w:right="1041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Mangal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3084"/>
    <w:multiLevelType w:val="hybridMultilevel"/>
    <w:tmpl w:val="301E4F32"/>
    <w:lvl w:ilvl="0" w:tplc="E3909E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3066"/>
    <w:multiLevelType w:val="hybridMultilevel"/>
    <w:tmpl w:val="0AE2FD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05598"/>
    <w:multiLevelType w:val="hybridMultilevel"/>
    <w:tmpl w:val="FBC0BF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663A08"/>
    <w:multiLevelType w:val="multilevel"/>
    <w:tmpl w:val="12907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918FE"/>
    <w:multiLevelType w:val="multilevel"/>
    <w:tmpl w:val="08FE38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8A6D3A"/>
    <w:multiLevelType w:val="multilevel"/>
    <w:tmpl w:val="564AE8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67780"/>
    <w:multiLevelType w:val="hybridMultilevel"/>
    <w:tmpl w:val="843A0AA6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72C89"/>
    <w:multiLevelType w:val="hybridMultilevel"/>
    <w:tmpl w:val="FBC0BF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F23379"/>
    <w:multiLevelType w:val="hybridMultilevel"/>
    <w:tmpl w:val="1304FBE8"/>
    <w:lvl w:ilvl="0" w:tplc="4264496C">
      <w:numFmt w:val="bullet"/>
      <w:lvlText w:val="·"/>
      <w:lvlJc w:val="left"/>
      <w:pPr>
        <w:ind w:left="1095" w:hanging="73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A00A1"/>
    <w:multiLevelType w:val="hybridMultilevel"/>
    <w:tmpl w:val="FBC0BF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2F1A1B"/>
    <w:multiLevelType w:val="multilevel"/>
    <w:tmpl w:val="61EE41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36"/>
    <w:rsid w:val="0000251F"/>
    <w:rsid w:val="00072607"/>
    <w:rsid w:val="00082B71"/>
    <w:rsid w:val="00127240"/>
    <w:rsid w:val="00141E0B"/>
    <w:rsid w:val="00210F4E"/>
    <w:rsid w:val="002452B0"/>
    <w:rsid w:val="002466C2"/>
    <w:rsid w:val="00284DA2"/>
    <w:rsid w:val="0030020F"/>
    <w:rsid w:val="00324D44"/>
    <w:rsid w:val="00372F43"/>
    <w:rsid w:val="00441585"/>
    <w:rsid w:val="00442AAA"/>
    <w:rsid w:val="004F4175"/>
    <w:rsid w:val="00555143"/>
    <w:rsid w:val="00555DFC"/>
    <w:rsid w:val="00595070"/>
    <w:rsid w:val="005B735C"/>
    <w:rsid w:val="005C73F3"/>
    <w:rsid w:val="006D7044"/>
    <w:rsid w:val="00700436"/>
    <w:rsid w:val="00722899"/>
    <w:rsid w:val="007F2BBF"/>
    <w:rsid w:val="008213A3"/>
    <w:rsid w:val="00877069"/>
    <w:rsid w:val="008F19B3"/>
    <w:rsid w:val="008F2EA3"/>
    <w:rsid w:val="0099717E"/>
    <w:rsid w:val="009B4055"/>
    <w:rsid w:val="009C6D78"/>
    <w:rsid w:val="009F6A82"/>
    <w:rsid w:val="00A12E3D"/>
    <w:rsid w:val="00AA7CD2"/>
    <w:rsid w:val="00AC0704"/>
    <w:rsid w:val="00AE6DC8"/>
    <w:rsid w:val="00B35C59"/>
    <w:rsid w:val="00B4027C"/>
    <w:rsid w:val="00C24CBE"/>
    <w:rsid w:val="00CA6296"/>
    <w:rsid w:val="00CB509A"/>
    <w:rsid w:val="00CF43CF"/>
    <w:rsid w:val="00D13298"/>
    <w:rsid w:val="00D146BC"/>
    <w:rsid w:val="00D6120D"/>
    <w:rsid w:val="00D77757"/>
    <w:rsid w:val="00D81017"/>
    <w:rsid w:val="00DB5B76"/>
    <w:rsid w:val="00E03337"/>
    <w:rsid w:val="00E12E82"/>
    <w:rsid w:val="00E23855"/>
    <w:rsid w:val="00E53EC7"/>
    <w:rsid w:val="00ED1CE3"/>
    <w:rsid w:val="00F33972"/>
    <w:rsid w:val="00F57E09"/>
    <w:rsid w:val="00F77A22"/>
    <w:rsid w:val="00FE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3157"/>
  <w15:docId w15:val="{1F094BEE-EE61-4F80-9B82-04BE336C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436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700436"/>
    <w:rPr>
      <w:color w:val="0000FF"/>
      <w:u w:val="single"/>
    </w:rPr>
  </w:style>
  <w:style w:type="table" w:styleId="Tabelacomgrade">
    <w:name w:val="Table Grid"/>
    <w:basedOn w:val="Tabelanormal"/>
    <w:rsid w:val="00700436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004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32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D13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1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9689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7294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5303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754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697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559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96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455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75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76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108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800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865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4563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93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761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095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68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499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8636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748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711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530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717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2847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067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169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0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3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Usuário do Windows</cp:lastModifiedBy>
  <cp:revision>2</cp:revision>
  <cp:lastPrinted>2010-08-18T18:44:00Z</cp:lastPrinted>
  <dcterms:created xsi:type="dcterms:W3CDTF">2018-08-14T13:49:00Z</dcterms:created>
  <dcterms:modified xsi:type="dcterms:W3CDTF">2018-08-14T13:49:00Z</dcterms:modified>
</cp:coreProperties>
</file>